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B1CF3" w14:textId="77777777" w:rsidR="00F52F70" w:rsidRDefault="00BB6C61" w:rsidP="00BB6C61">
      <w:pPr>
        <w:pStyle w:val="Heading1"/>
        <w:rPr>
          <w:color w:val="000000" w:themeColor="text1"/>
          <w:sz w:val="52"/>
          <w:szCs w:val="52"/>
        </w:rPr>
      </w:pPr>
      <w:r>
        <w:t xml:space="preserve">   </w:t>
      </w:r>
      <w:r w:rsidRPr="00824240">
        <w:rPr>
          <w:color w:val="000000" w:themeColor="text1"/>
          <w:sz w:val="52"/>
          <w:szCs w:val="52"/>
        </w:rPr>
        <w:t xml:space="preserve">  </w:t>
      </w:r>
    </w:p>
    <w:p w14:paraId="227DD3E5" w14:textId="2EBDECA3" w:rsidR="008A48DA" w:rsidRPr="00273B09" w:rsidRDefault="008B3976" w:rsidP="00273B09">
      <w:pPr>
        <w:pStyle w:val="Heading1"/>
        <w:jc w:val="center"/>
        <w:rPr>
          <w:color w:val="3A7C22" w:themeColor="accent6" w:themeShade="BF"/>
          <w:sz w:val="44"/>
          <w:szCs w:val="44"/>
          <w:lang w:val="en-GB"/>
        </w:rPr>
      </w:pPr>
      <w:bookmarkStart w:id="0" w:name="_Toc232098042"/>
      <w:r w:rsidRPr="00273B09">
        <w:rPr>
          <w:color w:val="3A7C22" w:themeColor="accent6" w:themeShade="BF"/>
          <w:sz w:val="44"/>
          <w:szCs w:val="44"/>
        </w:rPr>
        <w:t>FIRM F</w:t>
      </w:r>
      <w:r w:rsidR="001E129C" w:rsidRPr="00273B09">
        <w:rPr>
          <w:color w:val="3A7C22" w:themeColor="accent6" w:themeShade="BF"/>
          <w:sz w:val="44"/>
          <w:szCs w:val="44"/>
          <w:lang w:val="en-GB"/>
        </w:rPr>
        <w:t xml:space="preserve"> </w:t>
      </w:r>
      <w:proofErr w:type="spellStart"/>
      <w:r w:rsidR="0013282F" w:rsidRPr="00273B09">
        <w:rPr>
          <w:color w:val="3A7C22" w:themeColor="accent6" w:themeShade="BF"/>
          <w:sz w:val="44"/>
          <w:szCs w:val="44"/>
          <w:lang w:val="en-GB"/>
        </w:rPr>
        <w:t>Fomela</w:t>
      </w:r>
      <w:proofErr w:type="spellEnd"/>
      <w:r w:rsidRPr="00273B09">
        <w:rPr>
          <w:color w:val="3A7C22" w:themeColor="accent6" w:themeShade="BF"/>
          <w:sz w:val="44"/>
          <w:szCs w:val="44"/>
        </w:rPr>
        <w:t xml:space="preserve"> – </w:t>
      </w:r>
      <w:r w:rsidR="00742AAB" w:rsidRPr="00273B09">
        <w:rPr>
          <w:color w:val="3A7C22" w:themeColor="accent6" w:themeShade="BF"/>
          <w:sz w:val="44"/>
          <w:szCs w:val="44"/>
        </w:rPr>
        <w:t xml:space="preserve">Strategic </w:t>
      </w:r>
      <w:proofErr w:type="spellStart"/>
      <w:r w:rsidR="00742AAB" w:rsidRPr="00273B09">
        <w:rPr>
          <w:color w:val="3A7C22" w:themeColor="accent6" w:themeShade="BF"/>
          <w:sz w:val="44"/>
          <w:szCs w:val="44"/>
        </w:rPr>
        <w:t>Action</w:t>
      </w:r>
      <w:proofErr w:type="spellEnd"/>
      <w:r w:rsidR="00742AAB" w:rsidRPr="00273B09">
        <w:rPr>
          <w:color w:val="3A7C22" w:themeColor="accent6" w:themeShade="BF"/>
          <w:sz w:val="44"/>
          <w:szCs w:val="44"/>
        </w:rPr>
        <w:t xml:space="preserve"> Plan</w:t>
      </w:r>
      <w:bookmarkEnd w:id="0"/>
    </w:p>
    <w:p w14:paraId="5036C55E" w14:textId="0C1D8F06" w:rsidR="008A48DA" w:rsidRPr="00761917" w:rsidRDefault="008B3976" w:rsidP="00273B09">
      <w:pPr>
        <w:spacing w:after="200"/>
        <w:jc w:val="center"/>
        <w:rPr>
          <w:color w:val="3A7C22" w:themeColor="accent6" w:themeShade="BF"/>
          <w:sz w:val="44"/>
          <w:szCs w:val="44"/>
          <w:lang w:val="en-GB"/>
        </w:rPr>
      </w:pPr>
      <w:r w:rsidRPr="0013282F">
        <w:rPr>
          <w:b/>
          <w:bCs/>
          <w:color w:val="3A7C22" w:themeColor="accent6" w:themeShade="BF"/>
          <w:sz w:val="44"/>
          <w:szCs w:val="44"/>
        </w:rPr>
        <w:t>ESR Assignment</w:t>
      </w:r>
      <w:r w:rsidR="00761917">
        <w:rPr>
          <w:b/>
          <w:bCs/>
          <w:color w:val="3A7C22" w:themeColor="accent6" w:themeShade="BF"/>
          <w:sz w:val="44"/>
          <w:szCs w:val="44"/>
          <w:lang w:val="en-GB"/>
        </w:rPr>
        <w:t>-Year 2</w:t>
      </w:r>
    </w:p>
    <w:p w14:paraId="1D1BC80B" w14:textId="77777777" w:rsidR="00742AAB" w:rsidRPr="0013282F" w:rsidRDefault="00742AAB" w:rsidP="001E03F2">
      <w:pPr>
        <w:spacing w:after="600"/>
        <w:rPr>
          <w:color w:val="3A7C22" w:themeColor="accent6" w:themeShade="BF"/>
        </w:rPr>
      </w:pPr>
    </w:p>
    <w:p w14:paraId="1CE067A1" w14:textId="77777777" w:rsidR="00DF2B01" w:rsidRPr="00102C88" w:rsidRDefault="00DF2B01" w:rsidP="001E03F2">
      <w:pPr>
        <w:spacing w:after="600"/>
        <w:rPr>
          <w:lang w:val="en-GB"/>
        </w:rPr>
      </w:pPr>
    </w:p>
    <w:p w14:paraId="40DC2050" w14:textId="51F123E6" w:rsidR="00263BD0" w:rsidRPr="00102C88" w:rsidRDefault="001E03F2" w:rsidP="00102C88">
      <w:pPr>
        <w:pStyle w:val="Subtitle"/>
        <w:rPr>
          <w:lang w:val="en-GB"/>
        </w:rPr>
      </w:pPr>
      <w:r w:rsidRPr="00824240">
        <w:t>Date of submission: 11/06/2026</w:t>
      </w:r>
    </w:p>
    <w:p w14:paraId="4FDAB19E" w14:textId="59E0B08B" w:rsidR="00DD1B58" w:rsidRPr="00102C88" w:rsidRDefault="00265DA7" w:rsidP="00102C88">
      <w:pPr>
        <w:pStyle w:val="Subtitle"/>
        <w:rPr>
          <w:lang w:val="en-GB"/>
        </w:rPr>
      </w:pPr>
      <w:r w:rsidRPr="00824240">
        <w:t>Lecturer: Wim Havens</w:t>
      </w:r>
    </w:p>
    <w:p w14:paraId="32683B0B" w14:textId="604E2221" w:rsidR="00DD1B58" w:rsidRPr="00102C88" w:rsidRDefault="00265DA7" w:rsidP="00102C88">
      <w:pPr>
        <w:pStyle w:val="Subtitle"/>
        <w:rPr>
          <w:lang w:val="en-GB"/>
        </w:rPr>
      </w:pPr>
      <w:r w:rsidRPr="00824240">
        <w:t xml:space="preserve">Names: </w:t>
      </w:r>
      <w:r w:rsidR="00AC5F4D" w:rsidRPr="00824240">
        <w:t>Ingrid Patiurca</w:t>
      </w:r>
      <w:r w:rsidR="00AD7975" w:rsidRPr="00824240">
        <w:t xml:space="preserve"> (1090803)</w:t>
      </w:r>
      <w:r w:rsidR="00AC5F4D" w:rsidRPr="00824240">
        <w:t>, Malina Zarughevici</w:t>
      </w:r>
      <w:r w:rsidR="00AD7975" w:rsidRPr="00824240">
        <w:t xml:space="preserve"> (1093352</w:t>
      </w:r>
      <w:r w:rsidR="003302FD" w:rsidRPr="00824240">
        <w:t>)</w:t>
      </w:r>
      <w:r w:rsidR="00AC5F4D" w:rsidRPr="00824240">
        <w:t xml:space="preserve">, </w:t>
      </w:r>
      <w:r w:rsidR="00AD7975" w:rsidRPr="00824240">
        <w:t>Oleksandr Nerush</w:t>
      </w:r>
      <w:r w:rsidR="003302FD" w:rsidRPr="00824240">
        <w:t>(1090552)</w:t>
      </w:r>
      <w:r w:rsidR="00AD7975" w:rsidRPr="00824240">
        <w:t>,</w:t>
      </w:r>
      <w:r w:rsidR="003302FD" w:rsidRPr="00824240">
        <w:t xml:space="preserve"> Yefym Butov (109</w:t>
      </w:r>
      <w:r w:rsidR="00DF2B01" w:rsidRPr="00824240">
        <w:t>6451)</w:t>
      </w:r>
    </w:p>
    <w:p w14:paraId="31E0D99C" w14:textId="5623AD03" w:rsidR="00E7559A" w:rsidRDefault="00D74439" w:rsidP="003B4F87">
      <w:pPr>
        <w:pStyle w:val="Subtitle"/>
      </w:pPr>
      <w:proofErr w:type="spellStart"/>
      <w:r w:rsidRPr="00824240">
        <w:t>Version</w:t>
      </w:r>
      <w:proofErr w:type="spellEnd"/>
      <w:r w:rsidRPr="00824240">
        <w:t>: 1st</w:t>
      </w:r>
    </w:p>
    <w:p w14:paraId="31B13B82" w14:textId="77777777" w:rsidR="00E7559A" w:rsidRDefault="00E7559A">
      <w:pPr>
        <w:rPr>
          <w:rFonts w:asciiTheme="minorHAnsi" w:eastAsiaTheme="minorEastAsia" w:hAnsiTheme="minorHAnsi" w:cstheme="minorBidi"/>
          <w:color w:val="5A5A5A" w:themeColor="text1" w:themeTint="A5"/>
          <w:spacing w:val="15"/>
        </w:rPr>
      </w:pPr>
      <w:r>
        <w:br w:type="page"/>
      </w:r>
    </w:p>
    <w:sdt>
      <w:sdtPr>
        <w:id w:val="-139580423"/>
        <w:docPartObj>
          <w:docPartGallery w:val="Table of Contents"/>
          <w:docPartUnique/>
        </w:docPartObj>
      </w:sdtPr>
      <w:sdtEndPr>
        <w:rPr>
          <w:rFonts w:ascii="Arial" w:eastAsia="Arial" w:hAnsi="Arial" w:cs="Arial"/>
          <w:b/>
          <w:bCs/>
          <w:noProof/>
          <w:color w:val="auto"/>
          <w:sz w:val="22"/>
          <w:szCs w:val="22"/>
          <w:lang w:val="ro-RO" w:eastAsia="en-GB"/>
        </w:rPr>
      </w:sdtEndPr>
      <w:sdtContent>
        <w:p w14:paraId="5917BE20" w14:textId="469C78EA" w:rsidR="00E7559A" w:rsidRDefault="00E7559A">
          <w:pPr>
            <w:pStyle w:val="TOCHeading"/>
          </w:pPr>
          <w:r>
            <w:t>Contents</w:t>
          </w:r>
        </w:p>
        <w:p w14:paraId="26446513" w14:textId="17AB70EB" w:rsidR="00D8566E" w:rsidRDefault="00E7559A">
          <w:pPr>
            <w:pStyle w:val="TOC1"/>
            <w:tabs>
              <w:tab w:val="right" w:leader="dot" w:pos="9016"/>
            </w:tabs>
            <w:rPr>
              <w:rFonts w:asciiTheme="minorHAnsi" w:eastAsiaTheme="minorEastAsia" w:hAnsiTheme="minorHAnsi" w:cstheme="minorBidi"/>
              <w:noProof/>
              <w:kern w:val="2"/>
              <w:sz w:val="24"/>
              <w:szCs w:val="24"/>
              <w:lang w:eastAsia="ro-RO"/>
              <w14:ligatures w14:val="standardContextual"/>
            </w:rPr>
          </w:pPr>
          <w:r>
            <w:fldChar w:fldCharType="begin"/>
          </w:r>
          <w:r>
            <w:instrText xml:space="preserve"> TOC \o "1-3" \h \z \u </w:instrText>
          </w:r>
          <w:r>
            <w:fldChar w:fldCharType="separate"/>
          </w:r>
          <w:hyperlink w:anchor="_Toc232098042" w:history="1">
            <w:r w:rsidR="00D8566E" w:rsidRPr="006350FC">
              <w:rPr>
                <w:rStyle w:val="Hyperlink"/>
                <w:noProof/>
              </w:rPr>
              <w:t>FIRM F</w:t>
            </w:r>
            <w:r w:rsidR="00D8566E" w:rsidRPr="006350FC">
              <w:rPr>
                <w:rStyle w:val="Hyperlink"/>
                <w:noProof/>
                <w:lang w:val="en-GB"/>
              </w:rPr>
              <w:t xml:space="preserve"> Fomela</w:t>
            </w:r>
            <w:r w:rsidR="00D8566E" w:rsidRPr="006350FC">
              <w:rPr>
                <w:rStyle w:val="Hyperlink"/>
                <w:noProof/>
              </w:rPr>
              <w:t xml:space="preserve"> – Strategic Action Plan</w:t>
            </w:r>
            <w:r w:rsidR="00D8566E">
              <w:rPr>
                <w:noProof/>
                <w:webHidden/>
              </w:rPr>
              <w:tab/>
            </w:r>
            <w:r w:rsidR="00D8566E">
              <w:rPr>
                <w:noProof/>
                <w:webHidden/>
              </w:rPr>
              <w:fldChar w:fldCharType="begin"/>
            </w:r>
            <w:r w:rsidR="00D8566E">
              <w:rPr>
                <w:noProof/>
                <w:webHidden/>
              </w:rPr>
              <w:instrText xml:space="preserve"> PAGEREF _Toc232098042 \h </w:instrText>
            </w:r>
            <w:r w:rsidR="00D8566E">
              <w:rPr>
                <w:noProof/>
                <w:webHidden/>
              </w:rPr>
            </w:r>
            <w:r w:rsidR="00D8566E">
              <w:rPr>
                <w:noProof/>
                <w:webHidden/>
              </w:rPr>
              <w:fldChar w:fldCharType="separate"/>
            </w:r>
            <w:r w:rsidR="00D8566E">
              <w:rPr>
                <w:noProof/>
                <w:webHidden/>
              </w:rPr>
              <w:t>1</w:t>
            </w:r>
            <w:r w:rsidR="00D8566E">
              <w:rPr>
                <w:noProof/>
                <w:webHidden/>
              </w:rPr>
              <w:fldChar w:fldCharType="end"/>
            </w:r>
          </w:hyperlink>
        </w:p>
        <w:p w14:paraId="28E6446C" w14:textId="536ABCA9" w:rsidR="00D8566E" w:rsidRDefault="00D8566E">
          <w:pPr>
            <w:pStyle w:val="TOC1"/>
            <w:tabs>
              <w:tab w:val="right" w:leader="dot" w:pos="9016"/>
            </w:tabs>
            <w:rPr>
              <w:rFonts w:asciiTheme="minorHAnsi" w:eastAsiaTheme="minorEastAsia" w:hAnsiTheme="minorHAnsi" w:cstheme="minorBidi"/>
              <w:noProof/>
              <w:kern w:val="2"/>
              <w:sz w:val="24"/>
              <w:szCs w:val="24"/>
              <w:lang w:eastAsia="ro-RO"/>
              <w14:ligatures w14:val="standardContextual"/>
            </w:rPr>
          </w:pPr>
          <w:hyperlink w:anchor="_Toc232098043" w:history="1">
            <w:r w:rsidRPr="006350FC">
              <w:rPr>
                <w:rStyle w:val="Hyperlink"/>
                <w:noProof/>
              </w:rPr>
              <w:t>1. Vision for the Future</w:t>
            </w:r>
            <w:r>
              <w:rPr>
                <w:noProof/>
                <w:webHidden/>
              </w:rPr>
              <w:tab/>
            </w:r>
            <w:r>
              <w:rPr>
                <w:noProof/>
                <w:webHidden/>
              </w:rPr>
              <w:fldChar w:fldCharType="begin"/>
            </w:r>
            <w:r>
              <w:rPr>
                <w:noProof/>
                <w:webHidden/>
              </w:rPr>
              <w:instrText xml:space="preserve"> PAGEREF _Toc232098043 \h </w:instrText>
            </w:r>
            <w:r>
              <w:rPr>
                <w:noProof/>
                <w:webHidden/>
              </w:rPr>
            </w:r>
            <w:r>
              <w:rPr>
                <w:noProof/>
                <w:webHidden/>
              </w:rPr>
              <w:fldChar w:fldCharType="separate"/>
            </w:r>
            <w:r>
              <w:rPr>
                <w:noProof/>
                <w:webHidden/>
              </w:rPr>
              <w:t>3</w:t>
            </w:r>
            <w:r>
              <w:rPr>
                <w:noProof/>
                <w:webHidden/>
              </w:rPr>
              <w:fldChar w:fldCharType="end"/>
            </w:r>
          </w:hyperlink>
        </w:p>
        <w:p w14:paraId="24DBB7C1" w14:textId="3585FE94" w:rsidR="00D8566E" w:rsidRDefault="00D8566E">
          <w:pPr>
            <w:pStyle w:val="TOC1"/>
            <w:tabs>
              <w:tab w:val="right" w:leader="dot" w:pos="9016"/>
            </w:tabs>
            <w:rPr>
              <w:rFonts w:asciiTheme="minorHAnsi" w:eastAsiaTheme="minorEastAsia" w:hAnsiTheme="minorHAnsi" w:cstheme="minorBidi"/>
              <w:noProof/>
              <w:kern w:val="2"/>
              <w:sz w:val="24"/>
              <w:szCs w:val="24"/>
              <w:lang w:eastAsia="ro-RO"/>
              <w14:ligatures w14:val="standardContextual"/>
            </w:rPr>
          </w:pPr>
          <w:hyperlink w:anchor="_Toc232098044" w:history="1">
            <w:r w:rsidRPr="006350FC">
              <w:rPr>
                <w:rStyle w:val="Hyperlink"/>
                <w:noProof/>
              </w:rPr>
              <w:t>2. Baseline Analysis – SDG Value Chain</w:t>
            </w:r>
            <w:r>
              <w:rPr>
                <w:noProof/>
                <w:webHidden/>
              </w:rPr>
              <w:tab/>
            </w:r>
            <w:r>
              <w:rPr>
                <w:noProof/>
                <w:webHidden/>
              </w:rPr>
              <w:fldChar w:fldCharType="begin"/>
            </w:r>
            <w:r>
              <w:rPr>
                <w:noProof/>
                <w:webHidden/>
              </w:rPr>
              <w:instrText xml:space="preserve"> PAGEREF _Toc232098044 \h </w:instrText>
            </w:r>
            <w:r>
              <w:rPr>
                <w:noProof/>
                <w:webHidden/>
              </w:rPr>
            </w:r>
            <w:r>
              <w:rPr>
                <w:noProof/>
                <w:webHidden/>
              </w:rPr>
              <w:fldChar w:fldCharType="separate"/>
            </w:r>
            <w:r>
              <w:rPr>
                <w:noProof/>
                <w:webHidden/>
              </w:rPr>
              <w:t>3</w:t>
            </w:r>
            <w:r>
              <w:rPr>
                <w:noProof/>
                <w:webHidden/>
              </w:rPr>
              <w:fldChar w:fldCharType="end"/>
            </w:r>
          </w:hyperlink>
        </w:p>
        <w:p w14:paraId="1C253CC2" w14:textId="1BD6452F" w:rsidR="00D8566E" w:rsidRDefault="00D8566E">
          <w:pPr>
            <w:pStyle w:val="TOC2"/>
            <w:tabs>
              <w:tab w:val="right" w:leader="dot" w:pos="9016"/>
            </w:tabs>
            <w:rPr>
              <w:rFonts w:asciiTheme="minorHAnsi" w:eastAsiaTheme="minorEastAsia" w:hAnsiTheme="minorHAnsi" w:cstheme="minorBidi"/>
              <w:noProof/>
              <w:kern w:val="2"/>
              <w:sz w:val="24"/>
              <w:szCs w:val="24"/>
              <w:lang w:eastAsia="ro-RO"/>
              <w14:ligatures w14:val="standardContextual"/>
            </w:rPr>
          </w:pPr>
          <w:hyperlink w:anchor="_Toc232098045" w:history="1">
            <w:r w:rsidRPr="006350FC">
              <w:rPr>
                <w:rStyle w:val="Hyperlink"/>
                <w:noProof/>
              </w:rPr>
              <w:t>2.1 SDG Value Chain Analysis Table</w:t>
            </w:r>
            <w:r>
              <w:rPr>
                <w:noProof/>
                <w:webHidden/>
              </w:rPr>
              <w:tab/>
            </w:r>
            <w:r>
              <w:rPr>
                <w:noProof/>
                <w:webHidden/>
              </w:rPr>
              <w:fldChar w:fldCharType="begin"/>
            </w:r>
            <w:r>
              <w:rPr>
                <w:noProof/>
                <w:webHidden/>
              </w:rPr>
              <w:instrText xml:space="preserve"> PAGEREF _Toc232098045 \h </w:instrText>
            </w:r>
            <w:r>
              <w:rPr>
                <w:noProof/>
                <w:webHidden/>
              </w:rPr>
            </w:r>
            <w:r>
              <w:rPr>
                <w:noProof/>
                <w:webHidden/>
              </w:rPr>
              <w:fldChar w:fldCharType="separate"/>
            </w:r>
            <w:r>
              <w:rPr>
                <w:noProof/>
                <w:webHidden/>
              </w:rPr>
              <w:t>3</w:t>
            </w:r>
            <w:r>
              <w:rPr>
                <w:noProof/>
                <w:webHidden/>
              </w:rPr>
              <w:fldChar w:fldCharType="end"/>
            </w:r>
          </w:hyperlink>
        </w:p>
        <w:p w14:paraId="5B98A98E" w14:textId="6AEDB502" w:rsidR="00D8566E" w:rsidRDefault="00D8566E">
          <w:pPr>
            <w:pStyle w:val="TOC2"/>
            <w:tabs>
              <w:tab w:val="right" w:leader="dot" w:pos="9016"/>
            </w:tabs>
            <w:rPr>
              <w:rFonts w:asciiTheme="minorHAnsi" w:eastAsiaTheme="minorEastAsia" w:hAnsiTheme="minorHAnsi" w:cstheme="minorBidi"/>
              <w:noProof/>
              <w:kern w:val="2"/>
              <w:sz w:val="24"/>
              <w:szCs w:val="24"/>
              <w:lang w:eastAsia="ro-RO"/>
              <w14:ligatures w14:val="standardContextual"/>
            </w:rPr>
          </w:pPr>
          <w:hyperlink w:anchor="_Toc232098046" w:history="1">
            <w:r w:rsidRPr="006350FC">
              <w:rPr>
                <w:rStyle w:val="Hyperlink"/>
                <w:noProof/>
              </w:rPr>
              <w:t>2.2 Risk Matrix</w:t>
            </w:r>
            <w:r>
              <w:rPr>
                <w:noProof/>
                <w:webHidden/>
              </w:rPr>
              <w:tab/>
            </w:r>
            <w:r>
              <w:rPr>
                <w:noProof/>
                <w:webHidden/>
              </w:rPr>
              <w:fldChar w:fldCharType="begin"/>
            </w:r>
            <w:r>
              <w:rPr>
                <w:noProof/>
                <w:webHidden/>
              </w:rPr>
              <w:instrText xml:space="preserve"> PAGEREF _Toc232098046 \h </w:instrText>
            </w:r>
            <w:r>
              <w:rPr>
                <w:noProof/>
                <w:webHidden/>
              </w:rPr>
            </w:r>
            <w:r>
              <w:rPr>
                <w:noProof/>
                <w:webHidden/>
              </w:rPr>
              <w:fldChar w:fldCharType="separate"/>
            </w:r>
            <w:r>
              <w:rPr>
                <w:noProof/>
                <w:webHidden/>
              </w:rPr>
              <w:t>4</w:t>
            </w:r>
            <w:r>
              <w:rPr>
                <w:noProof/>
                <w:webHidden/>
              </w:rPr>
              <w:fldChar w:fldCharType="end"/>
            </w:r>
          </w:hyperlink>
        </w:p>
        <w:p w14:paraId="0AAD8694" w14:textId="6304DE13" w:rsidR="00D8566E" w:rsidRDefault="00D8566E">
          <w:pPr>
            <w:pStyle w:val="TOC1"/>
            <w:tabs>
              <w:tab w:val="right" w:leader="dot" w:pos="9016"/>
            </w:tabs>
            <w:rPr>
              <w:rFonts w:asciiTheme="minorHAnsi" w:eastAsiaTheme="minorEastAsia" w:hAnsiTheme="minorHAnsi" w:cstheme="minorBidi"/>
              <w:noProof/>
              <w:kern w:val="2"/>
              <w:sz w:val="24"/>
              <w:szCs w:val="24"/>
              <w:lang w:eastAsia="ro-RO"/>
              <w14:ligatures w14:val="standardContextual"/>
            </w:rPr>
          </w:pPr>
          <w:hyperlink w:anchor="_Toc232098047" w:history="1">
            <w:r w:rsidRPr="006350FC">
              <w:rPr>
                <w:rStyle w:val="Hyperlink"/>
                <w:noProof/>
              </w:rPr>
              <w:t>3. Visual: Impacts Along the Value Chain and Link to SDGs</w:t>
            </w:r>
            <w:r>
              <w:rPr>
                <w:noProof/>
                <w:webHidden/>
              </w:rPr>
              <w:tab/>
            </w:r>
            <w:r>
              <w:rPr>
                <w:noProof/>
                <w:webHidden/>
              </w:rPr>
              <w:fldChar w:fldCharType="begin"/>
            </w:r>
            <w:r>
              <w:rPr>
                <w:noProof/>
                <w:webHidden/>
              </w:rPr>
              <w:instrText xml:space="preserve"> PAGEREF _Toc232098047 \h </w:instrText>
            </w:r>
            <w:r>
              <w:rPr>
                <w:noProof/>
                <w:webHidden/>
              </w:rPr>
            </w:r>
            <w:r>
              <w:rPr>
                <w:noProof/>
                <w:webHidden/>
              </w:rPr>
              <w:fldChar w:fldCharType="separate"/>
            </w:r>
            <w:r>
              <w:rPr>
                <w:noProof/>
                <w:webHidden/>
              </w:rPr>
              <w:t>5</w:t>
            </w:r>
            <w:r>
              <w:rPr>
                <w:noProof/>
                <w:webHidden/>
              </w:rPr>
              <w:fldChar w:fldCharType="end"/>
            </w:r>
          </w:hyperlink>
        </w:p>
        <w:p w14:paraId="3E109503" w14:textId="3DAADB11" w:rsidR="00D8566E" w:rsidRDefault="00D8566E">
          <w:pPr>
            <w:pStyle w:val="TOC1"/>
            <w:tabs>
              <w:tab w:val="right" w:leader="dot" w:pos="9016"/>
            </w:tabs>
            <w:rPr>
              <w:rFonts w:asciiTheme="minorHAnsi" w:eastAsiaTheme="minorEastAsia" w:hAnsiTheme="minorHAnsi" w:cstheme="minorBidi"/>
              <w:noProof/>
              <w:kern w:val="2"/>
              <w:sz w:val="24"/>
              <w:szCs w:val="24"/>
              <w:lang w:eastAsia="ro-RO"/>
              <w14:ligatures w14:val="standardContextual"/>
            </w:rPr>
          </w:pPr>
          <w:hyperlink w:anchor="_Toc232098048" w:history="1">
            <w:r w:rsidRPr="006350FC">
              <w:rPr>
                <w:rStyle w:val="Hyperlink"/>
                <w:noProof/>
              </w:rPr>
              <w:t>4. Ideas to Move Firm F Towards Sustainability</w:t>
            </w:r>
            <w:r>
              <w:rPr>
                <w:noProof/>
                <w:webHidden/>
              </w:rPr>
              <w:tab/>
            </w:r>
            <w:r>
              <w:rPr>
                <w:noProof/>
                <w:webHidden/>
              </w:rPr>
              <w:fldChar w:fldCharType="begin"/>
            </w:r>
            <w:r>
              <w:rPr>
                <w:noProof/>
                <w:webHidden/>
              </w:rPr>
              <w:instrText xml:space="preserve"> PAGEREF _Toc232098048 \h </w:instrText>
            </w:r>
            <w:r>
              <w:rPr>
                <w:noProof/>
                <w:webHidden/>
              </w:rPr>
            </w:r>
            <w:r>
              <w:rPr>
                <w:noProof/>
                <w:webHidden/>
              </w:rPr>
              <w:fldChar w:fldCharType="separate"/>
            </w:r>
            <w:r>
              <w:rPr>
                <w:noProof/>
                <w:webHidden/>
              </w:rPr>
              <w:t>6</w:t>
            </w:r>
            <w:r>
              <w:rPr>
                <w:noProof/>
                <w:webHidden/>
              </w:rPr>
              <w:fldChar w:fldCharType="end"/>
            </w:r>
          </w:hyperlink>
        </w:p>
        <w:p w14:paraId="1D31653D" w14:textId="2A9BE347" w:rsidR="00D8566E" w:rsidRDefault="00D8566E">
          <w:pPr>
            <w:pStyle w:val="TOC2"/>
            <w:tabs>
              <w:tab w:val="right" w:leader="dot" w:pos="9016"/>
            </w:tabs>
            <w:rPr>
              <w:rFonts w:asciiTheme="minorHAnsi" w:eastAsiaTheme="minorEastAsia" w:hAnsiTheme="minorHAnsi" w:cstheme="minorBidi"/>
              <w:noProof/>
              <w:kern w:val="2"/>
              <w:sz w:val="24"/>
              <w:szCs w:val="24"/>
              <w:lang w:eastAsia="ro-RO"/>
              <w14:ligatures w14:val="standardContextual"/>
            </w:rPr>
          </w:pPr>
          <w:hyperlink w:anchor="_Toc232098049" w:history="1">
            <w:r w:rsidRPr="006350FC">
              <w:rPr>
                <w:rStyle w:val="Hyperlink"/>
                <w:noProof/>
              </w:rPr>
              <w:t>4.1 Full Idea List (20 ideas)</w:t>
            </w:r>
            <w:r>
              <w:rPr>
                <w:noProof/>
                <w:webHidden/>
              </w:rPr>
              <w:tab/>
            </w:r>
            <w:r>
              <w:rPr>
                <w:noProof/>
                <w:webHidden/>
              </w:rPr>
              <w:fldChar w:fldCharType="begin"/>
            </w:r>
            <w:r>
              <w:rPr>
                <w:noProof/>
                <w:webHidden/>
              </w:rPr>
              <w:instrText xml:space="preserve"> PAGEREF _Toc232098049 \h </w:instrText>
            </w:r>
            <w:r>
              <w:rPr>
                <w:noProof/>
                <w:webHidden/>
              </w:rPr>
            </w:r>
            <w:r>
              <w:rPr>
                <w:noProof/>
                <w:webHidden/>
              </w:rPr>
              <w:fldChar w:fldCharType="separate"/>
            </w:r>
            <w:r>
              <w:rPr>
                <w:noProof/>
                <w:webHidden/>
              </w:rPr>
              <w:t>6</w:t>
            </w:r>
            <w:r>
              <w:rPr>
                <w:noProof/>
                <w:webHidden/>
              </w:rPr>
              <w:fldChar w:fldCharType="end"/>
            </w:r>
          </w:hyperlink>
        </w:p>
        <w:p w14:paraId="0B05A423" w14:textId="52B71062" w:rsidR="00D8566E" w:rsidRDefault="00D8566E">
          <w:pPr>
            <w:pStyle w:val="TOC1"/>
            <w:tabs>
              <w:tab w:val="right" w:leader="dot" w:pos="9016"/>
            </w:tabs>
            <w:rPr>
              <w:rFonts w:asciiTheme="minorHAnsi" w:eastAsiaTheme="minorEastAsia" w:hAnsiTheme="minorHAnsi" w:cstheme="minorBidi"/>
              <w:noProof/>
              <w:kern w:val="2"/>
              <w:sz w:val="24"/>
              <w:szCs w:val="24"/>
              <w:lang w:eastAsia="ro-RO"/>
              <w14:ligatures w14:val="standardContextual"/>
            </w:rPr>
          </w:pPr>
          <w:hyperlink w:anchor="_Toc232098050" w:history="1">
            <w:r w:rsidRPr="006350FC">
              <w:rPr>
                <w:rStyle w:val="Hyperlink"/>
                <w:noProof/>
              </w:rPr>
              <w:t>5. Prioritisation of Ideas</w:t>
            </w:r>
            <w:r>
              <w:rPr>
                <w:noProof/>
                <w:webHidden/>
              </w:rPr>
              <w:tab/>
            </w:r>
            <w:r>
              <w:rPr>
                <w:noProof/>
                <w:webHidden/>
              </w:rPr>
              <w:fldChar w:fldCharType="begin"/>
            </w:r>
            <w:r>
              <w:rPr>
                <w:noProof/>
                <w:webHidden/>
              </w:rPr>
              <w:instrText xml:space="preserve"> PAGEREF _Toc232098050 \h </w:instrText>
            </w:r>
            <w:r>
              <w:rPr>
                <w:noProof/>
                <w:webHidden/>
              </w:rPr>
            </w:r>
            <w:r>
              <w:rPr>
                <w:noProof/>
                <w:webHidden/>
              </w:rPr>
              <w:fldChar w:fldCharType="separate"/>
            </w:r>
            <w:r>
              <w:rPr>
                <w:noProof/>
                <w:webHidden/>
              </w:rPr>
              <w:t>8</w:t>
            </w:r>
            <w:r>
              <w:rPr>
                <w:noProof/>
                <w:webHidden/>
              </w:rPr>
              <w:fldChar w:fldCharType="end"/>
            </w:r>
          </w:hyperlink>
        </w:p>
        <w:p w14:paraId="7276976C" w14:textId="135EF175" w:rsidR="00D8566E" w:rsidRDefault="00D8566E">
          <w:pPr>
            <w:pStyle w:val="TOC2"/>
            <w:tabs>
              <w:tab w:val="right" w:leader="dot" w:pos="9016"/>
            </w:tabs>
            <w:rPr>
              <w:rFonts w:asciiTheme="minorHAnsi" w:eastAsiaTheme="minorEastAsia" w:hAnsiTheme="minorHAnsi" w:cstheme="minorBidi"/>
              <w:noProof/>
              <w:kern w:val="2"/>
              <w:sz w:val="24"/>
              <w:szCs w:val="24"/>
              <w:lang w:eastAsia="ro-RO"/>
              <w14:ligatures w14:val="standardContextual"/>
            </w:rPr>
          </w:pPr>
          <w:hyperlink w:anchor="_Toc232098051" w:history="1">
            <w:r w:rsidRPr="006350FC">
              <w:rPr>
                <w:rStyle w:val="Hyperlink"/>
                <w:noProof/>
              </w:rPr>
              <w:t>5.1 Elimination of Trivial or Tolerable Impacts</w:t>
            </w:r>
            <w:r>
              <w:rPr>
                <w:noProof/>
                <w:webHidden/>
              </w:rPr>
              <w:tab/>
            </w:r>
            <w:r>
              <w:rPr>
                <w:noProof/>
                <w:webHidden/>
              </w:rPr>
              <w:fldChar w:fldCharType="begin"/>
            </w:r>
            <w:r>
              <w:rPr>
                <w:noProof/>
                <w:webHidden/>
              </w:rPr>
              <w:instrText xml:space="preserve"> PAGEREF _Toc232098051 \h </w:instrText>
            </w:r>
            <w:r>
              <w:rPr>
                <w:noProof/>
                <w:webHidden/>
              </w:rPr>
            </w:r>
            <w:r>
              <w:rPr>
                <w:noProof/>
                <w:webHidden/>
              </w:rPr>
              <w:fldChar w:fldCharType="separate"/>
            </w:r>
            <w:r>
              <w:rPr>
                <w:noProof/>
                <w:webHidden/>
              </w:rPr>
              <w:t>8</w:t>
            </w:r>
            <w:r>
              <w:rPr>
                <w:noProof/>
                <w:webHidden/>
              </w:rPr>
              <w:fldChar w:fldCharType="end"/>
            </w:r>
          </w:hyperlink>
        </w:p>
        <w:p w14:paraId="4A9BF9BA" w14:textId="10F49980" w:rsidR="00D8566E" w:rsidRDefault="00D8566E">
          <w:pPr>
            <w:pStyle w:val="TOC2"/>
            <w:tabs>
              <w:tab w:val="right" w:leader="dot" w:pos="9016"/>
            </w:tabs>
            <w:rPr>
              <w:rFonts w:asciiTheme="minorHAnsi" w:eastAsiaTheme="minorEastAsia" w:hAnsiTheme="minorHAnsi" w:cstheme="minorBidi"/>
              <w:noProof/>
              <w:kern w:val="2"/>
              <w:sz w:val="24"/>
              <w:szCs w:val="24"/>
              <w:lang w:eastAsia="ro-RO"/>
              <w14:ligatures w14:val="standardContextual"/>
            </w:rPr>
          </w:pPr>
          <w:hyperlink w:anchor="_Toc232098052" w:history="1">
            <w:r w:rsidRPr="006350FC">
              <w:rPr>
                <w:rStyle w:val="Hyperlink"/>
                <w:noProof/>
              </w:rPr>
              <w:t>5.2 Prioritisation Method</w:t>
            </w:r>
            <w:r>
              <w:rPr>
                <w:noProof/>
                <w:webHidden/>
              </w:rPr>
              <w:tab/>
            </w:r>
            <w:r>
              <w:rPr>
                <w:noProof/>
                <w:webHidden/>
              </w:rPr>
              <w:fldChar w:fldCharType="begin"/>
            </w:r>
            <w:r>
              <w:rPr>
                <w:noProof/>
                <w:webHidden/>
              </w:rPr>
              <w:instrText xml:space="preserve"> PAGEREF _Toc232098052 \h </w:instrText>
            </w:r>
            <w:r>
              <w:rPr>
                <w:noProof/>
                <w:webHidden/>
              </w:rPr>
            </w:r>
            <w:r>
              <w:rPr>
                <w:noProof/>
                <w:webHidden/>
              </w:rPr>
              <w:fldChar w:fldCharType="separate"/>
            </w:r>
            <w:r>
              <w:rPr>
                <w:noProof/>
                <w:webHidden/>
              </w:rPr>
              <w:t>8</w:t>
            </w:r>
            <w:r>
              <w:rPr>
                <w:noProof/>
                <w:webHidden/>
              </w:rPr>
              <w:fldChar w:fldCharType="end"/>
            </w:r>
          </w:hyperlink>
        </w:p>
        <w:p w14:paraId="5CC83933" w14:textId="40A65E88" w:rsidR="00D8566E" w:rsidRDefault="00D8566E">
          <w:pPr>
            <w:pStyle w:val="TOC1"/>
            <w:tabs>
              <w:tab w:val="right" w:leader="dot" w:pos="9016"/>
            </w:tabs>
            <w:rPr>
              <w:rFonts w:asciiTheme="minorHAnsi" w:eastAsiaTheme="minorEastAsia" w:hAnsiTheme="minorHAnsi" w:cstheme="minorBidi"/>
              <w:noProof/>
              <w:kern w:val="2"/>
              <w:sz w:val="24"/>
              <w:szCs w:val="24"/>
              <w:lang w:eastAsia="ro-RO"/>
              <w14:ligatures w14:val="standardContextual"/>
            </w:rPr>
          </w:pPr>
          <w:hyperlink w:anchor="_Toc232098053" w:history="1">
            <w:r w:rsidRPr="006350FC">
              <w:rPr>
                <w:rStyle w:val="Hyperlink"/>
                <w:noProof/>
              </w:rPr>
              <w:t>6. Five-Year Strategic Action Plan (2026–2030)</w:t>
            </w:r>
            <w:r>
              <w:rPr>
                <w:noProof/>
                <w:webHidden/>
              </w:rPr>
              <w:tab/>
            </w:r>
            <w:r>
              <w:rPr>
                <w:noProof/>
                <w:webHidden/>
              </w:rPr>
              <w:fldChar w:fldCharType="begin"/>
            </w:r>
            <w:r>
              <w:rPr>
                <w:noProof/>
                <w:webHidden/>
              </w:rPr>
              <w:instrText xml:space="preserve"> PAGEREF _Toc232098053 \h </w:instrText>
            </w:r>
            <w:r>
              <w:rPr>
                <w:noProof/>
                <w:webHidden/>
              </w:rPr>
            </w:r>
            <w:r>
              <w:rPr>
                <w:noProof/>
                <w:webHidden/>
              </w:rPr>
              <w:fldChar w:fldCharType="separate"/>
            </w:r>
            <w:r>
              <w:rPr>
                <w:noProof/>
                <w:webHidden/>
              </w:rPr>
              <w:t>9</w:t>
            </w:r>
            <w:r>
              <w:rPr>
                <w:noProof/>
                <w:webHidden/>
              </w:rPr>
              <w:fldChar w:fldCharType="end"/>
            </w:r>
          </w:hyperlink>
        </w:p>
        <w:p w14:paraId="08473132" w14:textId="1BC2AD24" w:rsidR="00D8566E" w:rsidRDefault="00D8566E">
          <w:pPr>
            <w:pStyle w:val="TOC2"/>
            <w:tabs>
              <w:tab w:val="right" w:leader="dot" w:pos="9016"/>
            </w:tabs>
            <w:rPr>
              <w:rFonts w:asciiTheme="minorHAnsi" w:eastAsiaTheme="minorEastAsia" w:hAnsiTheme="minorHAnsi" w:cstheme="minorBidi"/>
              <w:noProof/>
              <w:kern w:val="2"/>
              <w:sz w:val="24"/>
              <w:szCs w:val="24"/>
              <w:lang w:eastAsia="ro-RO"/>
              <w14:ligatures w14:val="standardContextual"/>
            </w:rPr>
          </w:pPr>
          <w:hyperlink w:anchor="_Toc232098054" w:history="1">
            <w:r w:rsidRPr="006350FC">
              <w:rPr>
                <w:rStyle w:val="Hyperlink"/>
                <w:noProof/>
              </w:rPr>
              <w:t>6.1 Link to Mission and Vision</w:t>
            </w:r>
            <w:r>
              <w:rPr>
                <w:noProof/>
                <w:webHidden/>
              </w:rPr>
              <w:tab/>
            </w:r>
            <w:r>
              <w:rPr>
                <w:noProof/>
                <w:webHidden/>
              </w:rPr>
              <w:fldChar w:fldCharType="begin"/>
            </w:r>
            <w:r>
              <w:rPr>
                <w:noProof/>
                <w:webHidden/>
              </w:rPr>
              <w:instrText xml:space="preserve"> PAGEREF _Toc232098054 \h </w:instrText>
            </w:r>
            <w:r>
              <w:rPr>
                <w:noProof/>
                <w:webHidden/>
              </w:rPr>
            </w:r>
            <w:r>
              <w:rPr>
                <w:noProof/>
                <w:webHidden/>
              </w:rPr>
              <w:fldChar w:fldCharType="separate"/>
            </w:r>
            <w:r>
              <w:rPr>
                <w:noProof/>
                <w:webHidden/>
              </w:rPr>
              <w:t>10</w:t>
            </w:r>
            <w:r>
              <w:rPr>
                <w:noProof/>
                <w:webHidden/>
              </w:rPr>
              <w:fldChar w:fldCharType="end"/>
            </w:r>
          </w:hyperlink>
        </w:p>
        <w:p w14:paraId="2E371292" w14:textId="3A61748A" w:rsidR="00D8566E" w:rsidRDefault="00D8566E">
          <w:pPr>
            <w:pStyle w:val="TOC1"/>
            <w:tabs>
              <w:tab w:val="right" w:leader="dot" w:pos="9016"/>
            </w:tabs>
            <w:rPr>
              <w:rFonts w:asciiTheme="minorHAnsi" w:eastAsiaTheme="minorEastAsia" w:hAnsiTheme="minorHAnsi" w:cstheme="minorBidi"/>
              <w:noProof/>
              <w:kern w:val="2"/>
              <w:sz w:val="24"/>
              <w:szCs w:val="24"/>
              <w:lang w:eastAsia="ro-RO"/>
              <w14:ligatures w14:val="standardContextual"/>
            </w:rPr>
          </w:pPr>
          <w:hyperlink w:anchor="_Toc232098055" w:history="1">
            <w:r w:rsidRPr="006350FC">
              <w:rPr>
                <w:rStyle w:val="Hyperlink"/>
                <w:noProof/>
              </w:rPr>
              <w:t>7. Bibliography</w:t>
            </w:r>
            <w:r>
              <w:rPr>
                <w:noProof/>
                <w:webHidden/>
              </w:rPr>
              <w:tab/>
            </w:r>
            <w:r>
              <w:rPr>
                <w:noProof/>
                <w:webHidden/>
              </w:rPr>
              <w:fldChar w:fldCharType="begin"/>
            </w:r>
            <w:r>
              <w:rPr>
                <w:noProof/>
                <w:webHidden/>
              </w:rPr>
              <w:instrText xml:space="preserve"> PAGEREF _Toc232098055 \h </w:instrText>
            </w:r>
            <w:r>
              <w:rPr>
                <w:noProof/>
                <w:webHidden/>
              </w:rPr>
            </w:r>
            <w:r>
              <w:rPr>
                <w:noProof/>
                <w:webHidden/>
              </w:rPr>
              <w:fldChar w:fldCharType="separate"/>
            </w:r>
            <w:r>
              <w:rPr>
                <w:noProof/>
                <w:webHidden/>
              </w:rPr>
              <w:t>11</w:t>
            </w:r>
            <w:r>
              <w:rPr>
                <w:noProof/>
                <w:webHidden/>
              </w:rPr>
              <w:fldChar w:fldCharType="end"/>
            </w:r>
          </w:hyperlink>
        </w:p>
        <w:p w14:paraId="7EE5A94A" w14:textId="11D048DA" w:rsidR="00E7559A" w:rsidRDefault="00E7559A">
          <w:r>
            <w:rPr>
              <w:b/>
              <w:bCs/>
              <w:noProof/>
            </w:rPr>
            <w:fldChar w:fldCharType="end"/>
          </w:r>
        </w:p>
      </w:sdtContent>
    </w:sdt>
    <w:p w14:paraId="26DBB7B7" w14:textId="77777777" w:rsidR="003B4F87" w:rsidRPr="003B4F87" w:rsidRDefault="003B4F87" w:rsidP="003B4F87">
      <w:pPr>
        <w:pStyle w:val="Subtitle"/>
        <w:rPr>
          <w:lang w:val="en-GB"/>
        </w:rPr>
      </w:pPr>
    </w:p>
    <w:p w14:paraId="6F0493F0" w14:textId="77777777" w:rsidR="00D74439" w:rsidRPr="00824240" w:rsidRDefault="00D74439" w:rsidP="00DD1B58">
      <w:pPr>
        <w:rPr>
          <w:sz w:val="24"/>
          <w:szCs w:val="24"/>
        </w:rPr>
      </w:pPr>
    </w:p>
    <w:p w14:paraId="767D6D37" w14:textId="77777777" w:rsidR="00D74439" w:rsidRDefault="00D74439" w:rsidP="00DD1B58"/>
    <w:p w14:paraId="1AC9AE32" w14:textId="77777777" w:rsidR="00DD1B58" w:rsidRDefault="00DD1B58" w:rsidP="00DD1B58"/>
    <w:p w14:paraId="09B13E9B" w14:textId="77777777" w:rsidR="001E03F2" w:rsidRDefault="001E03F2" w:rsidP="001E03F2">
      <w:pPr>
        <w:spacing w:after="600"/>
      </w:pPr>
    </w:p>
    <w:p w14:paraId="64657BC3" w14:textId="2449C44E" w:rsidR="00F52F70" w:rsidRDefault="008B3976">
      <w:r>
        <w:br w:type="page"/>
      </w:r>
    </w:p>
    <w:p w14:paraId="5068D1DE" w14:textId="77777777" w:rsidR="008A48DA" w:rsidRDefault="008B3976">
      <w:pPr>
        <w:pStyle w:val="Heading1"/>
      </w:pPr>
      <w:bookmarkStart w:id="1" w:name="_Toc232098043"/>
      <w:r>
        <w:lastRenderedPageBreak/>
        <w:t>1. Vision for the Future</w:t>
      </w:r>
      <w:bookmarkEnd w:id="1"/>
    </w:p>
    <w:p w14:paraId="60481B39" w14:textId="77777777" w:rsidR="008A48DA" w:rsidRDefault="008B3976">
      <w:pPr>
        <w:spacing w:after="160"/>
        <w:jc w:val="both"/>
      </w:pPr>
      <w:r>
        <w:t>Firm F's vision is to lead the transition towards a sustainable and mobility-first future by developing vehicles that serve people, communities, and the planet. We believe that the automobile industry has a responsibility not only to innovate but to do so in a way that reverses its historical environmental harm. Our goal is to become the most trusted and sustainability-driven automotive brand in the market, one that customers choose not only for performance and value but for the values it represents.</w:t>
      </w:r>
    </w:p>
    <w:p w14:paraId="494930EC" w14:textId="2C5B06BF" w:rsidR="008A48DA" w:rsidRDefault="008B3976">
      <w:pPr>
        <w:spacing w:after="160"/>
        <w:jc w:val="both"/>
      </w:pPr>
      <w:r>
        <w:t>By 2030, Firm F will achieve carbon-neutral manufacturing operations, electrify the majority of our product portfolio, and demonstrate that profitability and sustainability are not mutually exclusive. Drawing on our strong financial foundation</w:t>
      </w:r>
      <w:r w:rsidR="0006683C">
        <w:rPr>
          <w:lang w:val="en-GB"/>
        </w:rPr>
        <w:t xml:space="preserve">, </w:t>
      </w:r>
      <w:r>
        <w:t>Year 8 revenues of $39.3 million, net income of $6.1 million, and consistent market growth</w:t>
      </w:r>
      <w:r w:rsidR="0006683C">
        <w:rPr>
          <w:lang w:val="en-GB"/>
        </w:rPr>
        <w:t>,</w:t>
      </w:r>
      <w:r>
        <w:t xml:space="preserve"> we will invest in clean technology, responsible sourcing, and circular economy practices that set the industry standard. (StratSim Management, Year 8 Dashboard</w:t>
      </w:r>
      <w:r w:rsidR="00306336">
        <w:rPr>
          <w:lang w:val="en-GB"/>
        </w:rPr>
        <w:t>).</w:t>
      </w:r>
    </w:p>
    <w:p w14:paraId="17E6B80F" w14:textId="77777777" w:rsidR="008A48DA" w:rsidRDefault="008A48DA">
      <w:pPr>
        <w:spacing w:after="80"/>
      </w:pPr>
    </w:p>
    <w:p w14:paraId="092FE7A0" w14:textId="3089E868" w:rsidR="008A48DA" w:rsidRDefault="008B3976">
      <w:pPr>
        <w:pStyle w:val="Heading1"/>
      </w:pPr>
      <w:bookmarkStart w:id="2" w:name="_Toc232098044"/>
      <w:r>
        <w:t>2. Baseline Analysis – SDG Value Chain</w:t>
      </w:r>
      <w:bookmarkEnd w:id="2"/>
      <w:r w:rsidR="00B62348">
        <w:t xml:space="preserve"> </w:t>
      </w:r>
    </w:p>
    <w:p w14:paraId="0DD5A63E" w14:textId="1D6A5F69" w:rsidR="008A48DA" w:rsidRDefault="008B3976">
      <w:pPr>
        <w:spacing w:after="160"/>
        <w:jc w:val="both"/>
      </w:pPr>
      <w:r>
        <w:t>The following analysis identifies a minimum of 10 negative sustainability impacts across Firm F's value chain, mapped to the UN Sustainable Development Goals (SDGs). The analysis draws on the SDG Value Chain framework, identifying inputs, outputs, and impacts at each stage.</w:t>
      </w:r>
      <w:r w:rsidR="004D0E7F">
        <w:t xml:space="preserve"> </w:t>
      </w:r>
      <w:r w:rsidR="004D0E7F" w:rsidRPr="00C84E33">
        <w:rPr>
          <w:b/>
          <w:bCs/>
        </w:rPr>
        <w:t>See t</w:t>
      </w:r>
      <w:r w:rsidR="00C84E33" w:rsidRPr="00C84E33">
        <w:rPr>
          <w:b/>
          <w:bCs/>
        </w:rPr>
        <w:t>he table in the excel file attached.</w:t>
      </w:r>
    </w:p>
    <w:p w14:paraId="58574614" w14:textId="77777777" w:rsidR="008A48DA" w:rsidRDefault="008A48DA">
      <w:pPr>
        <w:spacing w:after="80"/>
      </w:pPr>
    </w:p>
    <w:p w14:paraId="272857E4" w14:textId="184C1258" w:rsidR="008A48DA" w:rsidRDefault="008B3976">
      <w:pPr>
        <w:pStyle w:val="Heading2"/>
      </w:pPr>
      <w:bookmarkStart w:id="3" w:name="_Toc232098045"/>
      <w:r>
        <w:t>2.1 SDG Value Chain Analysis Table</w:t>
      </w:r>
      <w:bookmarkEnd w:id="3"/>
      <w:r w:rsidR="002E6979">
        <w:t xml:space="preserve"> </w:t>
      </w:r>
    </w:p>
    <w:p w14:paraId="1389F718" w14:textId="77777777" w:rsidR="008A48DA" w:rsidRDefault="008A48DA">
      <w:pPr>
        <w:spacing w:after="80"/>
      </w:pPr>
    </w:p>
    <w:p w14:paraId="56E1BBBD" w14:textId="220CEAFB" w:rsidR="008A48DA" w:rsidRDefault="008B3976">
      <w:pPr>
        <w:spacing w:after="160"/>
        <w:jc w:val="both"/>
      </w:pPr>
      <w:r>
        <w:t>Firm F's operations span a conventional automotive value chain. As of Year 8, the company operates a domestic manufacturing plant at 125% utilisation capacity, producing 1,250,000 units against a nominal capacity of 1,000,000 units</w:t>
      </w:r>
      <w:r w:rsidR="003F6D01">
        <w:rPr>
          <w:lang w:val="en-GB"/>
        </w:rPr>
        <w:t>,</w:t>
      </w:r>
      <w:r>
        <w:t xml:space="preserve"> the highest production volume of all six competitors in the simulation (StratSim Management, Year 8 Competition/Manufacturing). This makes Firm F the market's largest manufacturer by output. The four vehicle segments produced are: Fab4WD (420k), Fantastic (555k), Felony (173k), and FirstClass (103k). However, operating above designed capacity generates an over-capacity charge of $710,000 and creates supply shortages, signalling that resource intensity per unit is elevated. Revenue reached $39.3 million with a 33.6% gross margin, while the product contribution analysis shows variable costs of $24.3 million</w:t>
      </w:r>
      <w:r w:rsidR="002723ED">
        <w:rPr>
          <w:lang w:val="en-GB"/>
        </w:rPr>
        <w:t xml:space="preserve">, </w:t>
      </w:r>
      <w:r>
        <w:t>largely tied to resource-intensive manufacturing (StratSim Management, Year 8 Product Contribution).</w:t>
      </w:r>
    </w:p>
    <w:p w14:paraId="2CEC37E6" w14:textId="2E7B3500" w:rsidR="008A48DA" w:rsidRDefault="008B3976">
      <w:pPr>
        <w:spacing w:after="160"/>
        <w:jc w:val="both"/>
      </w:pPr>
      <w:r>
        <w:t>Firm F's product portfolio analysis (BCG matrix) shows all four vehicle models clustered in the Star and Question Mark quadrants</w:t>
      </w:r>
      <w:r w:rsidR="002723ED">
        <w:rPr>
          <w:lang w:val="en-GB"/>
        </w:rPr>
        <w:t>,</w:t>
      </w:r>
      <w:r>
        <w:t xml:space="preserve"> indicating high market growth but varying relative market share (StratSim Management, Year 8 Portfolio Analysis). No products are currently positioned as Cash Cows or Dogs. This portfolio structure is significant for the sustainability strategy: Stars and Question Marks are growth-stage products where design and technology decisions made now will lock in environmental performance characteristics for years. Transitioning these products towards electrification and lower resource intensity during this growth phase offers the highest leverage point for long-term SDG impact reduction.</w:t>
      </w:r>
    </w:p>
    <w:p w14:paraId="7D293E27" w14:textId="77777777" w:rsidR="008A48DA" w:rsidRDefault="008A48DA">
      <w:pPr>
        <w:spacing w:after="80"/>
      </w:pPr>
    </w:p>
    <w:p w14:paraId="7E9AE4A2" w14:textId="77777777" w:rsidR="003B4F87" w:rsidRDefault="003B4F87">
      <w:pPr>
        <w:pStyle w:val="Heading2"/>
        <w:rPr>
          <w:lang w:val="en-GB"/>
        </w:rPr>
      </w:pPr>
    </w:p>
    <w:p w14:paraId="324268F0" w14:textId="182FD8BF" w:rsidR="008A48DA" w:rsidRDefault="008B3976">
      <w:pPr>
        <w:pStyle w:val="Heading2"/>
      </w:pPr>
      <w:bookmarkStart w:id="4" w:name="_Toc232098046"/>
      <w:r>
        <w:lastRenderedPageBreak/>
        <w:t>2.2 Risk Matrix</w:t>
      </w:r>
      <w:bookmarkEnd w:id="4"/>
    </w:p>
    <w:p w14:paraId="38C081F3" w14:textId="77777777" w:rsidR="008A48DA" w:rsidRDefault="008B3976">
      <w:pPr>
        <w:spacing w:after="160"/>
        <w:jc w:val="both"/>
      </w:pPr>
      <w:r>
        <w:t>Each identified impact is assessed by likelihood (probability of occurrence, 1–5) and severity (magnitude and irreversibility of harm, 1–5). Risk level is determined by multiplying both scores: scores ≥16 = Critical; 9–15 = High; &lt;9 = Medium.</w:t>
      </w:r>
    </w:p>
    <w:p w14:paraId="4C461B0C" w14:textId="77777777" w:rsidR="008A48DA" w:rsidRDefault="008A48DA">
      <w:pPr>
        <w:spacing w:after="80"/>
      </w:pPr>
    </w:p>
    <w:tbl>
      <w:tblPr>
        <w:tblW w:w="0" w:type="auto"/>
        <w:tblCellMar>
          <w:top w:w="15" w:type="dxa"/>
          <w:left w:w="15" w:type="dxa"/>
          <w:bottom w:w="15" w:type="dxa"/>
          <w:right w:w="15" w:type="dxa"/>
        </w:tblCellMar>
        <w:tblLook w:val="04A0" w:firstRow="1" w:lastRow="0" w:firstColumn="1" w:lastColumn="0" w:noHBand="0" w:noVBand="1"/>
      </w:tblPr>
      <w:tblGrid>
        <w:gridCol w:w="2045"/>
        <w:gridCol w:w="1315"/>
        <w:gridCol w:w="1380"/>
        <w:gridCol w:w="1445"/>
        <w:gridCol w:w="1445"/>
        <w:gridCol w:w="1380"/>
      </w:tblGrid>
      <w:tr w:rsidR="00496854" w:rsidRPr="00496854" w14:paraId="5196F2B0" w14:textId="77777777" w:rsidTr="00EE513A">
        <w:tc>
          <w:tcPr>
            <w:tcW w:w="307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0FA291E" w14:textId="77777777" w:rsidR="00496854" w:rsidRPr="00496854" w:rsidRDefault="00496854" w:rsidP="00496854">
            <w:pPr>
              <w:spacing w:after="80"/>
            </w:pPr>
            <w:proofErr w:type="spellStart"/>
            <w:r w:rsidRPr="00496854">
              <w:rPr>
                <w:b/>
                <w:bCs/>
              </w:rPr>
              <w:t>Likelihood</w:t>
            </w:r>
            <w:proofErr w:type="spellEnd"/>
            <w:r w:rsidRPr="00496854">
              <w:rPr>
                <w:b/>
                <w:bCs/>
              </w:rPr>
              <w:t xml:space="preserve"> ↓ / </w:t>
            </w:r>
            <w:proofErr w:type="spellStart"/>
            <w:r w:rsidRPr="00496854">
              <w:rPr>
                <w:b/>
                <w:bCs/>
              </w:rPr>
              <w:t>Severity</w:t>
            </w:r>
            <w:proofErr w:type="spellEnd"/>
            <w:r w:rsidRPr="00496854">
              <w:rPr>
                <w:b/>
                <w:bCs/>
              </w:rPr>
              <w:t xml:space="preserve"> →</w:t>
            </w:r>
          </w:p>
        </w:tc>
        <w:tc>
          <w:tcPr>
            <w:tcW w:w="2625" w:type="dxa"/>
            <w:tcBorders>
              <w:top w:val="outset" w:sz="6" w:space="0" w:color="auto"/>
              <w:left w:val="nil"/>
              <w:bottom w:val="outset" w:sz="6" w:space="0" w:color="auto"/>
              <w:right w:val="outset" w:sz="6" w:space="0" w:color="auto"/>
            </w:tcBorders>
            <w:shd w:val="clear" w:color="auto" w:fill="FFFFFF" w:themeFill="background1"/>
            <w:vAlign w:val="center"/>
            <w:hideMark/>
          </w:tcPr>
          <w:p w14:paraId="380821F1" w14:textId="77777777" w:rsidR="00496854" w:rsidRPr="00496854" w:rsidRDefault="00496854" w:rsidP="00496854">
            <w:pPr>
              <w:spacing w:after="80"/>
            </w:pPr>
            <w:r w:rsidRPr="00496854">
              <w:rPr>
                <w:b/>
                <w:bCs/>
              </w:rPr>
              <w:t>1</w:t>
            </w:r>
          </w:p>
        </w:tc>
        <w:tc>
          <w:tcPr>
            <w:tcW w:w="2625" w:type="dxa"/>
            <w:tcBorders>
              <w:top w:val="outset" w:sz="6" w:space="0" w:color="auto"/>
              <w:left w:val="nil"/>
              <w:bottom w:val="outset" w:sz="6" w:space="0" w:color="auto"/>
              <w:right w:val="outset" w:sz="6" w:space="0" w:color="auto"/>
            </w:tcBorders>
            <w:shd w:val="clear" w:color="auto" w:fill="FFFFFF" w:themeFill="background1"/>
            <w:vAlign w:val="center"/>
            <w:hideMark/>
          </w:tcPr>
          <w:p w14:paraId="2B0ADD50" w14:textId="77777777" w:rsidR="00496854" w:rsidRPr="00496854" w:rsidRDefault="00496854" w:rsidP="00496854">
            <w:pPr>
              <w:spacing w:after="80"/>
            </w:pPr>
            <w:r w:rsidRPr="00496854">
              <w:rPr>
                <w:b/>
                <w:bCs/>
              </w:rPr>
              <w:t>2</w:t>
            </w:r>
          </w:p>
        </w:tc>
        <w:tc>
          <w:tcPr>
            <w:tcW w:w="2625" w:type="dxa"/>
            <w:tcBorders>
              <w:top w:val="outset" w:sz="6" w:space="0" w:color="auto"/>
              <w:left w:val="nil"/>
              <w:bottom w:val="outset" w:sz="6" w:space="0" w:color="auto"/>
              <w:right w:val="outset" w:sz="6" w:space="0" w:color="auto"/>
            </w:tcBorders>
            <w:shd w:val="clear" w:color="auto" w:fill="FFFFFF" w:themeFill="background1"/>
            <w:vAlign w:val="center"/>
            <w:hideMark/>
          </w:tcPr>
          <w:p w14:paraId="5AD919D5" w14:textId="77777777" w:rsidR="00496854" w:rsidRPr="00496854" w:rsidRDefault="00496854" w:rsidP="00496854">
            <w:pPr>
              <w:spacing w:after="80"/>
            </w:pPr>
            <w:r w:rsidRPr="00496854">
              <w:rPr>
                <w:b/>
                <w:bCs/>
              </w:rPr>
              <w:t>3</w:t>
            </w:r>
          </w:p>
        </w:tc>
        <w:tc>
          <w:tcPr>
            <w:tcW w:w="2625" w:type="dxa"/>
            <w:tcBorders>
              <w:top w:val="outset" w:sz="6" w:space="0" w:color="auto"/>
              <w:left w:val="nil"/>
              <w:bottom w:val="outset" w:sz="6" w:space="0" w:color="auto"/>
              <w:right w:val="outset" w:sz="6" w:space="0" w:color="auto"/>
            </w:tcBorders>
            <w:shd w:val="clear" w:color="auto" w:fill="FFFFFF" w:themeFill="background1"/>
            <w:vAlign w:val="center"/>
            <w:hideMark/>
          </w:tcPr>
          <w:p w14:paraId="55C0DD10" w14:textId="77777777" w:rsidR="00496854" w:rsidRPr="00496854" w:rsidRDefault="00496854" w:rsidP="00496854">
            <w:pPr>
              <w:spacing w:after="80"/>
            </w:pPr>
            <w:r w:rsidRPr="00496854">
              <w:rPr>
                <w:b/>
                <w:bCs/>
              </w:rPr>
              <w:t>4</w:t>
            </w:r>
          </w:p>
        </w:tc>
        <w:tc>
          <w:tcPr>
            <w:tcW w:w="2625" w:type="dxa"/>
            <w:tcBorders>
              <w:top w:val="outset" w:sz="6" w:space="0" w:color="auto"/>
              <w:left w:val="nil"/>
              <w:bottom w:val="outset" w:sz="6" w:space="0" w:color="auto"/>
              <w:right w:val="outset" w:sz="6" w:space="0" w:color="auto"/>
            </w:tcBorders>
            <w:shd w:val="clear" w:color="auto" w:fill="FFFFFF" w:themeFill="background1"/>
            <w:vAlign w:val="center"/>
            <w:hideMark/>
          </w:tcPr>
          <w:p w14:paraId="62EDA319" w14:textId="77777777" w:rsidR="00496854" w:rsidRPr="00496854" w:rsidRDefault="00496854" w:rsidP="00496854">
            <w:pPr>
              <w:spacing w:after="80"/>
            </w:pPr>
            <w:r w:rsidRPr="00496854">
              <w:rPr>
                <w:b/>
                <w:bCs/>
              </w:rPr>
              <w:t>5</w:t>
            </w:r>
          </w:p>
        </w:tc>
      </w:tr>
      <w:tr w:rsidR="00EE513A" w:rsidRPr="00496854" w14:paraId="332BCBAA" w14:textId="77777777" w:rsidTr="00EE513A">
        <w:tc>
          <w:tcPr>
            <w:tcW w:w="3075" w:type="dxa"/>
            <w:tcBorders>
              <w:top w:val="nil"/>
              <w:left w:val="outset" w:sz="6" w:space="0" w:color="auto"/>
              <w:bottom w:val="outset" w:sz="6" w:space="0" w:color="auto"/>
              <w:right w:val="outset" w:sz="6" w:space="0" w:color="auto"/>
            </w:tcBorders>
            <w:shd w:val="clear" w:color="auto" w:fill="DAE9F7" w:themeFill="text2" w:themeFillTint="1A"/>
            <w:vAlign w:val="center"/>
            <w:hideMark/>
          </w:tcPr>
          <w:p w14:paraId="26E92667" w14:textId="77777777" w:rsidR="00496854" w:rsidRPr="00496854" w:rsidRDefault="00496854" w:rsidP="00496854">
            <w:pPr>
              <w:spacing w:after="80"/>
            </w:pPr>
            <w:r w:rsidRPr="00496854">
              <w:rPr>
                <w:b/>
                <w:bCs/>
              </w:rPr>
              <w:t>5</w:t>
            </w:r>
          </w:p>
        </w:tc>
        <w:tc>
          <w:tcPr>
            <w:tcW w:w="2625" w:type="dxa"/>
            <w:tcBorders>
              <w:top w:val="nil"/>
              <w:left w:val="nil"/>
              <w:bottom w:val="outset" w:sz="6" w:space="0" w:color="auto"/>
              <w:right w:val="outset" w:sz="6" w:space="0" w:color="auto"/>
            </w:tcBorders>
            <w:shd w:val="clear" w:color="auto" w:fill="80340D" w:themeFill="accent2" w:themeFillShade="80"/>
            <w:vAlign w:val="center"/>
            <w:hideMark/>
          </w:tcPr>
          <w:p w14:paraId="5972F670" w14:textId="77777777" w:rsidR="00496854" w:rsidRPr="00496854" w:rsidRDefault="00496854" w:rsidP="00496854">
            <w:pPr>
              <w:spacing w:after="80"/>
            </w:pPr>
            <w:r w:rsidRPr="00496854">
              <w:rPr>
                <w:b/>
                <w:bCs/>
              </w:rPr>
              <w:t>5</w:t>
            </w:r>
          </w:p>
        </w:tc>
        <w:tc>
          <w:tcPr>
            <w:tcW w:w="2625" w:type="dxa"/>
            <w:tcBorders>
              <w:top w:val="nil"/>
              <w:left w:val="nil"/>
              <w:bottom w:val="outset" w:sz="6" w:space="0" w:color="auto"/>
              <w:right w:val="outset" w:sz="6" w:space="0" w:color="auto"/>
            </w:tcBorders>
            <w:shd w:val="clear" w:color="auto" w:fill="E97132" w:themeFill="accent2"/>
            <w:vAlign w:val="center"/>
            <w:hideMark/>
          </w:tcPr>
          <w:p w14:paraId="2A65094B" w14:textId="77777777" w:rsidR="00496854" w:rsidRPr="00496854" w:rsidRDefault="00496854" w:rsidP="00496854">
            <w:pPr>
              <w:spacing w:after="80"/>
            </w:pPr>
            <w:r w:rsidRPr="00496854">
              <w:rPr>
                <w:b/>
                <w:bCs/>
              </w:rPr>
              <w:t>10</w:t>
            </w:r>
          </w:p>
        </w:tc>
        <w:tc>
          <w:tcPr>
            <w:tcW w:w="2625" w:type="dxa"/>
            <w:tcBorders>
              <w:top w:val="nil"/>
              <w:left w:val="nil"/>
              <w:bottom w:val="outset" w:sz="6" w:space="0" w:color="auto"/>
              <w:right w:val="outset" w:sz="6" w:space="0" w:color="auto"/>
            </w:tcBorders>
            <w:shd w:val="clear" w:color="auto" w:fill="E97132" w:themeFill="accent2"/>
            <w:vAlign w:val="center"/>
            <w:hideMark/>
          </w:tcPr>
          <w:p w14:paraId="01225D96" w14:textId="77777777" w:rsidR="00496854" w:rsidRPr="00496854" w:rsidRDefault="00496854" w:rsidP="00496854">
            <w:pPr>
              <w:spacing w:after="80"/>
            </w:pPr>
            <w:r w:rsidRPr="00496854">
              <w:rPr>
                <w:b/>
                <w:bCs/>
              </w:rPr>
              <w:t>15</w:t>
            </w:r>
          </w:p>
          <w:p w14:paraId="1E6D0714" w14:textId="77777777" w:rsidR="00496854" w:rsidRPr="00496854" w:rsidRDefault="00496854" w:rsidP="00496854">
            <w:pPr>
              <w:spacing w:after="80"/>
            </w:pPr>
            <w:r w:rsidRPr="00496854">
              <w:rPr>
                <w:b/>
                <w:bCs/>
              </w:rPr>
              <w:t>#10</w:t>
            </w:r>
          </w:p>
        </w:tc>
        <w:tc>
          <w:tcPr>
            <w:tcW w:w="2625" w:type="dxa"/>
            <w:tcBorders>
              <w:top w:val="nil"/>
              <w:left w:val="nil"/>
              <w:bottom w:val="outset" w:sz="6" w:space="0" w:color="auto"/>
              <w:right w:val="outset" w:sz="6" w:space="0" w:color="auto"/>
            </w:tcBorders>
            <w:shd w:val="clear" w:color="auto" w:fill="FF0000"/>
            <w:vAlign w:val="center"/>
            <w:hideMark/>
          </w:tcPr>
          <w:p w14:paraId="57B55DF6" w14:textId="77777777" w:rsidR="00496854" w:rsidRPr="00496854" w:rsidRDefault="00496854" w:rsidP="00496854">
            <w:pPr>
              <w:spacing w:after="80"/>
            </w:pPr>
            <w:r w:rsidRPr="00496854">
              <w:rPr>
                <w:b/>
                <w:bCs/>
              </w:rPr>
              <w:t>20</w:t>
            </w:r>
          </w:p>
          <w:p w14:paraId="63E28796" w14:textId="77777777" w:rsidR="00496854" w:rsidRPr="00496854" w:rsidRDefault="00496854" w:rsidP="00496854">
            <w:pPr>
              <w:spacing w:after="80"/>
            </w:pPr>
            <w:r w:rsidRPr="00496854">
              <w:rPr>
                <w:b/>
                <w:bCs/>
              </w:rPr>
              <w:t>#2, #11</w:t>
            </w:r>
          </w:p>
        </w:tc>
        <w:tc>
          <w:tcPr>
            <w:tcW w:w="2625" w:type="dxa"/>
            <w:tcBorders>
              <w:top w:val="nil"/>
              <w:left w:val="nil"/>
              <w:bottom w:val="outset" w:sz="6" w:space="0" w:color="auto"/>
              <w:right w:val="outset" w:sz="6" w:space="0" w:color="auto"/>
            </w:tcBorders>
            <w:shd w:val="clear" w:color="auto" w:fill="FF0000"/>
            <w:vAlign w:val="center"/>
            <w:hideMark/>
          </w:tcPr>
          <w:p w14:paraId="04786627" w14:textId="77777777" w:rsidR="00496854" w:rsidRPr="00496854" w:rsidRDefault="00496854" w:rsidP="00496854">
            <w:pPr>
              <w:spacing w:after="80"/>
            </w:pPr>
            <w:r w:rsidRPr="00496854">
              <w:rPr>
                <w:b/>
                <w:bCs/>
              </w:rPr>
              <w:t>25</w:t>
            </w:r>
          </w:p>
          <w:p w14:paraId="19F3A5C9" w14:textId="77777777" w:rsidR="00496854" w:rsidRPr="00496854" w:rsidRDefault="00496854" w:rsidP="00496854">
            <w:pPr>
              <w:spacing w:after="80"/>
            </w:pPr>
            <w:r w:rsidRPr="00496854">
              <w:rPr>
                <w:b/>
                <w:bCs/>
              </w:rPr>
              <w:t>#1</w:t>
            </w:r>
          </w:p>
        </w:tc>
      </w:tr>
      <w:tr w:rsidR="00EE513A" w:rsidRPr="00496854" w14:paraId="780DC3F6" w14:textId="77777777" w:rsidTr="00EE513A">
        <w:tc>
          <w:tcPr>
            <w:tcW w:w="3075" w:type="dxa"/>
            <w:tcBorders>
              <w:top w:val="nil"/>
              <w:left w:val="outset" w:sz="6" w:space="0" w:color="auto"/>
              <w:bottom w:val="outset" w:sz="6" w:space="0" w:color="auto"/>
              <w:right w:val="outset" w:sz="6" w:space="0" w:color="auto"/>
            </w:tcBorders>
            <w:shd w:val="clear" w:color="auto" w:fill="DAE9F7" w:themeFill="text2" w:themeFillTint="1A"/>
            <w:vAlign w:val="center"/>
            <w:hideMark/>
          </w:tcPr>
          <w:p w14:paraId="323102B7" w14:textId="77777777" w:rsidR="00496854" w:rsidRPr="00496854" w:rsidRDefault="00496854" w:rsidP="00496854">
            <w:pPr>
              <w:spacing w:after="80"/>
            </w:pPr>
            <w:r w:rsidRPr="00496854">
              <w:rPr>
                <w:b/>
                <w:bCs/>
              </w:rPr>
              <w:t>4</w:t>
            </w:r>
          </w:p>
        </w:tc>
        <w:tc>
          <w:tcPr>
            <w:tcW w:w="2625" w:type="dxa"/>
            <w:tcBorders>
              <w:top w:val="nil"/>
              <w:left w:val="nil"/>
              <w:bottom w:val="outset" w:sz="6" w:space="0" w:color="auto"/>
              <w:right w:val="outset" w:sz="6" w:space="0" w:color="auto"/>
            </w:tcBorders>
            <w:shd w:val="clear" w:color="auto" w:fill="80340D" w:themeFill="accent2" w:themeFillShade="80"/>
            <w:vAlign w:val="center"/>
            <w:hideMark/>
          </w:tcPr>
          <w:p w14:paraId="1D41E4AC" w14:textId="77777777" w:rsidR="00496854" w:rsidRPr="00496854" w:rsidRDefault="00496854" w:rsidP="00496854">
            <w:pPr>
              <w:spacing w:after="80"/>
            </w:pPr>
            <w:r w:rsidRPr="00496854">
              <w:rPr>
                <w:b/>
                <w:bCs/>
              </w:rPr>
              <w:t>4</w:t>
            </w:r>
          </w:p>
        </w:tc>
        <w:tc>
          <w:tcPr>
            <w:tcW w:w="2625" w:type="dxa"/>
            <w:tcBorders>
              <w:top w:val="nil"/>
              <w:left w:val="nil"/>
              <w:bottom w:val="outset" w:sz="6" w:space="0" w:color="auto"/>
              <w:right w:val="outset" w:sz="6" w:space="0" w:color="auto"/>
            </w:tcBorders>
            <w:shd w:val="clear" w:color="auto" w:fill="80340D" w:themeFill="accent2" w:themeFillShade="80"/>
            <w:vAlign w:val="center"/>
            <w:hideMark/>
          </w:tcPr>
          <w:p w14:paraId="03EE6B30" w14:textId="77777777" w:rsidR="00496854" w:rsidRPr="00496854" w:rsidRDefault="00496854" w:rsidP="00496854">
            <w:pPr>
              <w:spacing w:after="80"/>
            </w:pPr>
            <w:r w:rsidRPr="00496854">
              <w:rPr>
                <w:b/>
                <w:bCs/>
              </w:rPr>
              <w:t>8</w:t>
            </w:r>
          </w:p>
          <w:p w14:paraId="6C92B599" w14:textId="77777777" w:rsidR="00496854" w:rsidRPr="00496854" w:rsidRDefault="00496854" w:rsidP="00496854">
            <w:pPr>
              <w:spacing w:after="80"/>
            </w:pPr>
            <w:r w:rsidRPr="00496854">
              <w:rPr>
                <w:b/>
                <w:bCs/>
              </w:rPr>
              <w:t>#9</w:t>
            </w:r>
          </w:p>
        </w:tc>
        <w:tc>
          <w:tcPr>
            <w:tcW w:w="2625" w:type="dxa"/>
            <w:tcBorders>
              <w:top w:val="nil"/>
              <w:left w:val="nil"/>
              <w:bottom w:val="outset" w:sz="6" w:space="0" w:color="auto"/>
              <w:right w:val="outset" w:sz="6" w:space="0" w:color="auto"/>
            </w:tcBorders>
            <w:shd w:val="clear" w:color="auto" w:fill="E97132" w:themeFill="accent2"/>
            <w:vAlign w:val="center"/>
            <w:hideMark/>
          </w:tcPr>
          <w:p w14:paraId="534DB261" w14:textId="77777777" w:rsidR="00496854" w:rsidRPr="00496854" w:rsidRDefault="00496854" w:rsidP="00496854">
            <w:pPr>
              <w:spacing w:after="80"/>
            </w:pPr>
            <w:r w:rsidRPr="00496854">
              <w:rPr>
                <w:b/>
                <w:bCs/>
              </w:rPr>
              <w:t>12</w:t>
            </w:r>
          </w:p>
          <w:p w14:paraId="66C1208E" w14:textId="77777777" w:rsidR="00496854" w:rsidRPr="00496854" w:rsidRDefault="00496854" w:rsidP="00496854">
            <w:pPr>
              <w:spacing w:after="80"/>
            </w:pPr>
            <w:r w:rsidRPr="00496854">
              <w:rPr>
                <w:b/>
                <w:bCs/>
              </w:rPr>
              <w:t>#12</w:t>
            </w:r>
          </w:p>
        </w:tc>
        <w:tc>
          <w:tcPr>
            <w:tcW w:w="2625" w:type="dxa"/>
            <w:tcBorders>
              <w:top w:val="nil"/>
              <w:left w:val="nil"/>
              <w:bottom w:val="outset" w:sz="6" w:space="0" w:color="auto"/>
              <w:right w:val="outset" w:sz="6" w:space="0" w:color="auto"/>
            </w:tcBorders>
            <w:shd w:val="clear" w:color="auto" w:fill="FF0000"/>
            <w:vAlign w:val="center"/>
            <w:hideMark/>
          </w:tcPr>
          <w:p w14:paraId="1A0AE851" w14:textId="77777777" w:rsidR="00496854" w:rsidRPr="00496854" w:rsidRDefault="00496854" w:rsidP="00496854">
            <w:pPr>
              <w:spacing w:after="80"/>
            </w:pPr>
            <w:r w:rsidRPr="00496854">
              <w:rPr>
                <w:b/>
                <w:bCs/>
              </w:rPr>
              <w:t>16</w:t>
            </w:r>
          </w:p>
          <w:p w14:paraId="2F7F2127" w14:textId="77777777" w:rsidR="00496854" w:rsidRPr="00496854" w:rsidRDefault="00496854" w:rsidP="00496854">
            <w:pPr>
              <w:spacing w:after="80"/>
            </w:pPr>
            <w:r w:rsidRPr="00496854">
              <w:rPr>
                <w:b/>
                <w:bCs/>
              </w:rPr>
              <w:t>#3, #5, #7</w:t>
            </w:r>
          </w:p>
        </w:tc>
        <w:tc>
          <w:tcPr>
            <w:tcW w:w="2625" w:type="dxa"/>
            <w:tcBorders>
              <w:top w:val="nil"/>
              <w:left w:val="nil"/>
              <w:bottom w:val="outset" w:sz="6" w:space="0" w:color="auto"/>
              <w:right w:val="outset" w:sz="6" w:space="0" w:color="auto"/>
            </w:tcBorders>
            <w:shd w:val="clear" w:color="auto" w:fill="FF0000"/>
            <w:vAlign w:val="center"/>
            <w:hideMark/>
          </w:tcPr>
          <w:p w14:paraId="3B2791B6" w14:textId="77777777" w:rsidR="00496854" w:rsidRPr="00496854" w:rsidRDefault="00496854" w:rsidP="00496854">
            <w:pPr>
              <w:spacing w:after="80"/>
            </w:pPr>
            <w:r w:rsidRPr="00496854">
              <w:rPr>
                <w:b/>
                <w:bCs/>
              </w:rPr>
              <w:t>20</w:t>
            </w:r>
          </w:p>
        </w:tc>
      </w:tr>
      <w:tr w:rsidR="00EE513A" w:rsidRPr="00496854" w14:paraId="58EB611A" w14:textId="77777777" w:rsidTr="00EE513A">
        <w:tc>
          <w:tcPr>
            <w:tcW w:w="3075" w:type="dxa"/>
            <w:tcBorders>
              <w:top w:val="nil"/>
              <w:left w:val="outset" w:sz="6" w:space="0" w:color="auto"/>
              <w:bottom w:val="outset" w:sz="6" w:space="0" w:color="auto"/>
              <w:right w:val="outset" w:sz="6" w:space="0" w:color="auto"/>
            </w:tcBorders>
            <w:shd w:val="clear" w:color="auto" w:fill="DAE9F7" w:themeFill="text2" w:themeFillTint="1A"/>
            <w:vAlign w:val="center"/>
            <w:hideMark/>
          </w:tcPr>
          <w:p w14:paraId="4323B432" w14:textId="77777777" w:rsidR="00496854" w:rsidRPr="00496854" w:rsidRDefault="00496854" w:rsidP="00496854">
            <w:pPr>
              <w:spacing w:after="80"/>
            </w:pPr>
            <w:r w:rsidRPr="00496854">
              <w:rPr>
                <w:b/>
                <w:bCs/>
              </w:rPr>
              <w:t>3</w:t>
            </w:r>
          </w:p>
        </w:tc>
        <w:tc>
          <w:tcPr>
            <w:tcW w:w="2625" w:type="dxa"/>
            <w:tcBorders>
              <w:top w:val="nil"/>
              <w:left w:val="nil"/>
              <w:bottom w:val="outset" w:sz="6" w:space="0" w:color="auto"/>
              <w:right w:val="outset" w:sz="6" w:space="0" w:color="auto"/>
            </w:tcBorders>
            <w:shd w:val="clear" w:color="auto" w:fill="80340D" w:themeFill="accent2" w:themeFillShade="80"/>
            <w:vAlign w:val="center"/>
            <w:hideMark/>
          </w:tcPr>
          <w:p w14:paraId="4BC4B782" w14:textId="77777777" w:rsidR="00496854" w:rsidRPr="00496854" w:rsidRDefault="00496854" w:rsidP="00496854">
            <w:pPr>
              <w:spacing w:after="80"/>
            </w:pPr>
            <w:r w:rsidRPr="00496854">
              <w:rPr>
                <w:b/>
                <w:bCs/>
              </w:rPr>
              <w:t>3</w:t>
            </w:r>
          </w:p>
        </w:tc>
        <w:tc>
          <w:tcPr>
            <w:tcW w:w="2625" w:type="dxa"/>
            <w:tcBorders>
              <w:top w:val="nil"/>
              <w:left w:val="nil"/>
              <w:bottom w:val="outset" w:sz="6" w:space="0" w:color="auto"/>
              <w:right w:val="outset" w:sz="6" w:space="0" w:color="auto"/>
            </w:tcBorders>
            <w:shd w:val="clear" w:color="auto" w:fill="80340D" w:themeFill="accent2" w:themeFillShade="80"/>
            <w:vAlign w:val="center"/>
            <w:hideMark/>
          </w:tcPr>
          <w:p w14:paraId="54C0CBCB" w14:textId="77777777" w:rsidR="00496854" w:rsidRPr="00496854" w:rsidRDefault="00496854" w:rsidP="00496854">
            <w:pPr>
              <w:spacing w:after="80"/>
            </w:pPr>
            <w:r w:rsidRPr="00496854">
              <w:rPr>
                <w:b/>
                <w:bCs/>
              </w:rPr>
              <w:t>6</w:t>
            </w:r>
          </w:p>
        </w:tc>
        <w:tc>
          <w:tcPr>
            <w:tcW w:w="2625" w:type="dxa"/>
            <w:tcBorders>
              <w:top w:val="nil"/>
              <w:left w:val="nil"/>
              <w:bottom w:val="outset" w:sz="6" w:space="0" w:color="auto"/>
              <w:right w:val="outset" w:sz="6" w:space="0" w:color="auto"/>
            </w:tcBorders>
            <w:shd w:val="clear" w:color="auto" w:fill="E97132" w:themeFill="accent2"/>
            <w:vAlign w:val="center"/>
            <w:hideMark/>
          </w:tcPr>
          <w:p w14:paraId="03571539" w14:textId="77777777" w:rsidR="00496854" w:rsidRPr="00496854" w:rsidRDefault="00496854" w:rsidP="00496854">
            <w:pPr>
              <w:spacing w:after="80"/>
            </w:pPr>
            <w:r w:rsidRPr="00496854">
              <w:rPr>
                <w:b/>
                <w:bCs/>
              </w:rPr>
              <w:t>9</w:t>
            </w:r>
          </w:p>
          <w:p w14:paraId="3ED5E374" w14:textId="77777777" w:rsidR="00496854" w:rsidRPr="00496854" w:rsidRDefault="00496854" w:rsidP="00496854">
            <w:pPr>
              <w:spacing w:after="80"/>
            </w:pPr>
            <w:r w:rsidRPr="00496854">
              <w:rPr>
                <w:b/>
                <w:bCs/>
              </w:rPr>
              <w:t>#6, #8</w:t>
            </w:r>
          </w:p>
        </w:tc>
        <w:tc>
          <w:tcPr>
            <w:tcW w:w="2625" w:type="dxa"/>
            <w:tcBorders>
              <w:top w:val="nil"/>
              <w:left w:val="nil"/>
              <w:bottom w:val="outset" w:sz="6" w:space="0" w:color="auto"/>
              <w:right w:val="outset" w:sz="6" w:space="0" w:color="auto"/>
            </w:tcBorders>
            <w:shd w:val="clear" w:color="auto" w:fill="E97132" w:themeFill="accent2"/>
            <w:vAlign w:val="center"/>
            <w:hideMark/>
          </w:tcPr>
          <w:p w14:paraId="2E83B860" w14:textId="77777777" w:rsidR="00496854" w:rsidRPr="00496854" w:rsidRDefault="00496854" w:rsidP="00496854">
            <w:pPr>
              <w:spacing w:after="80"/>
            </w:pPr>
            <w:r w:rsidRPr="00496854">
              <w:rPr>
                <w:b/>
                <w:bCs/>
              </w:rPr>
              <w:t>12</w:t>
            </w:r>
          </w:p>
          <w:p w14:paraId="0E450F8C" w14:textId="77777777" w:rsidR="00496854" w:rsidRPr="00496854" w:rsidRDefault="00496854" w:rsidP="00496854">
            <w:pPr>
              <w:spacing w:after="80"/>
            </w:pPr>
            <w:r w:rsidRPr="00496854">
              <w:rPr>
                <w:b/>
                <w:bCs/>
              </w:rPr>
              <w:t>#4</w:t>
            </w:r>
          </w:p>
        </w:tc>
        <w:tc>
          <w:tcPr>
            <w:tcW w:w="2625" w:type="dxa"/>
            <w:tcBorders>
              <w:top w:val="nil"/>
              <w:left w:val="nil"/>
              <w:bottom w:val="outset" w:sz="6" w:space="0" w:color="auto"/>
              <w:right w:val="outset" w:sz="6" w:space="0" w:color="auto"/>
            </w:tcBorders>
            <w:shd w:val="clear" w:color="auto" w:fill="E97132" w:themeFill="accent2"/>
            <w:vAlign w:val="center"/>
            <w:hideMark/>
          </w:tcPr>
          <w:p w14:paraId="0A722B14" w14:textId="77777777" w:rsidR="00496854" w:rsidRPr="00496854" w:rsidRDefault="00496854" w:rsidP="00496854">
            <w:pPr>
              <w:spacing w:after="80"/>
            </w:pPr>
            <w:r w:rsidRPr="00496854">
              <w:rPr>
                <w:b/>
                <w:bCs/>
              </w:rPr>
              <w:t>15</w:t>
            </w:r>
          </w:p>
        </w:tc>
      </w:tr>
      <w:tr w:rsidR="00EE513A" w:rsidRPr="00496854" w14:paraId="2C04FD3B" w14:textId="77777777" w:rsidTr="00EE513A">
        <w:tc>
          <w:tcPr>
            <w:tcW w:w="3075" w:type="dxa"/>
            <w:tcBorders>
              <w:top w:val="nil"/>
              <w:left w:val="outset" w:sz="6" w:space="0" w:color="auto"/>
              <w:bottom w:val="outset" w:sz="6" w:space="0" w:color="auto"/>
              <w:right w:val="outset" w:sz="6" w:space="0" w:color="auto"/>
            </w:tcBorders>
            <w:shd w:val="clear" w:color="auto" w:fill="DAE9F7" w:themeFill="text2" w:themeFillTint="1A"/>
            <w:vAlign w:val="center"/>
            <w:hideMark/>
          </w:tcPr>
          <w:p w14:paraId="58F8FD2F" w14:textId="77777777" w:rsidR="00496854" w:rsidRPr="00496854" w:rsidRDefault="00496854" w:rsidP="00496854">
            <w:pPr>
              <w:spacing w:after="80"/>
            </w:pPr>
            <w:r w:rsidRPr="00496854">
              <w:rPr>
                <w:b/>
                <w:bCs/>
              </w:rPr>
              <w:t>2</w:t>
            </w:r>
          </w:p>
        </w:tc>
        <w:tc>
          <w:tcPr>
            <w:tcW w:w="2625" w:type="dxa"/>
            <w:tcBorders>
              <w:top w:val="nil"/>
              <w:left w:val="nil"/>
              <w:bottom w:val="outset" w:sz="6" w:space="0" w:color="auto"/>
              <w:right w:val="outset" w:sz="6" w:space="0" w:color="auto"/>
            </w:tcBorders>
            <w:shd w:val="clear" w:color="auto" w:fill="80340D" w:themeFill="accent2" w:themeFillShade="80"/>
            <w:vAlign w:val="center"/>
            <w:hideMark/>
          </w:tcPr>
          <w:p w14:paraId="6315CCA3" w14:textId="77777777" w:rsidR="00496854" w:rsidRPr="00496854" w:rsidRDefault="00496854" w:rsidP="00496854">
            <w:pPr>
              <w:spacing w:after="80"/>
            </w:pPr>
            <w:r w:rsidRPr="00496854">
              <w:rPr>
                <w:b/>
                <w:bCs/>
              </w:rPr>
              <w:t>2</w:t>
            </w:r>
          </w:p>
        </w:tc>
        <w:tc>
          <w:tcPr>
            <w:tcW w:w="2625" w:type="dxa"/>
            <w:tcBorders>
              <w:top w:val="nil"/>
              <w:left w:val="nil"/>
              <w:bottom w:val="outset" w:sz="6" w:space="0" w:color="auto"/>
              <w:right w:val="outset" w:sz="6" w:space="0" w:color="auto"/>
            </w:tcBorders>
            <w:shd w:val="clear" w:color="auto" w:fill="80340D" w:themeFill="accent2" w:themeFillShade="80"/>
            <w:vAlign w:val="center"/>
            <w:hideMark/>
          </w:tcPr>
          <w:p w14:paraId="56587DE1" w14:textId="77777777" w:rsidR="00496854" w:rsidRPr="00496854" w:rsidRDefault="00496854" w:rsidP="00496854">
            <w:pPr>
              <w:spacing w:after="80"/>
            </w:pPr>
            <w:r w:rsidRPr="00496854">
              <w:rPr>
                <w:b/>
                <w:bCs/>
              </w:rPr>
              <w:t>4</w:t>
            </w:r>
          </w:p>
        </w:tc>
        <w:tc>
          <w:tcPr>
            <w:tcW w:w="2625" w:type="dxa"/>
            <w:tcBorders>
              <w:top w:val="nil"/>
              <w:left w:val="nil"/>
              <w:bottom w:val="outset" w:sz="6" w:space="0" w:color="auto"/>
              <w:right w:val="outset" w:sz="6" w:space="0" w:color="auto"/>
            </w:tcBorders>
            <w:shd w:val="clear" w:color="auto" w:fill="80340D" w:themeFill="accent2" w:themeFillShade="80"/>
            <w:vAlign w:val="center"/>
            <w:hideMark/>
          </w:tcPr>
          <w:p w14:paraId="1BE1F376" w14:textId="77777777" w:rsidR="00496854" w:rsidRPr="00496854" w:rsidRDefault="00496854" w:rsidP="00496854">
            <w:pPr>
              <w:spacing w:after="80"/>
            </w:pPr>
            <w:r w:rsidRPr="00496854">
              <w:rPr>
                <w:b/>
                <w:bCs/>
              </w:rPr>
              <w:t>6</w:t>
            </w:r>
          </w:p>
        </w:tc>
        <w:tc>
          <w:tcPr>
            <w:tcW w:w="2625" w:type="dxa"/>
            <w:tcBorders>
              <w:top w:val="nil"/>
              <w:left w:val="nil"/>
              <w:bottom w:val="outset" w:sz="6" w:space="0" w:color="auto"/>
              <w:right w:val="outset" w:sz="6" w:space="0" w:color="auto"/>
            </w:tcBorders>
            <w:shd w:val="clear" w:color="auto" w:fill="80340D" w:themeFill="accent2" w:themeFillShade="80"/>
            <w:vAlign w:val="center"/>
            <w:hideMark/>
          </w:tcPr>
          <w:p w14:paraId="4645BDB9" w14:textId="77777777" w:rsidR="00496854" w:rsidRPr="00496854" w:rsidRDefault="00496854" w:rsidP="00496854">
            <w:pPr>
              <w:spacing w:after="80"/>
            </w:pPr>
            <w:r w:rsidRPr="00496854">
              <w:rPr>
                <w:b/>
                <w:bCs/>
              </w:rPr>
              <w:t>8</w:t>
            </w:r>
          </w:p>
        </w:tc>
        <w:tc>
          <w:tcPr>
            <w:tcW w:w="2625" w:type="dxa"/>
            <w:tcBorders>
              <w:top w:val="nil"/>
              <w:left w:val="nil"/>
              <w:bottom w:val="outset" w:sz="6" w:space="0" w:color="auto"/>
              <w:right w:val="outset" w:sz="6" w:space="0" w:color="auto"/>
            </w:tcBorders>
            <w:shd w:val="clear" w:color="auto" w:fill="E97132" w:themeFill="accent2"/>
            <w:vAlign w:val="center"/>
            <w:hideMark/>
          </w:tcPr>
          <w:p w14:paraId="7C8C4376" w14:textId="77777777" w:rsidR="00496854" w:rsidRPr="00496854" w:rsidRDefault="00496854" w:rsidP="00496854">
            <w:pPr>
              <w:spacing w:after="80"/>
            </w:pPr>
            <w:r w:rsidRPr="00496854">
              <w:rPr>
                <w:b/>
                <w:bCs/>
              </w:rPr>
              <w:t>10</w:t>
            </w:r>
          </w:p>
        </w:tc>
      </w:tr>
      <w:tr w:rsidR="00EE513A" w:rsidRPr="00496854" w14:paraId="5014461C" w14:textId="77777777" w:rsidTr="00EE513A">
        <w:tc>
          <w:tcPr>
            <w:tcW w:w="3075" w:type="dxa"/>
            <w:tcBorders>
              <w:top w:val="nil"/>
              <w:left w:val="outset" w:sz="6" w:space="0" w:color="auto"/>
              <w:bottom w:val="outset" w:sz="6" w:space="0" w:color="auto"/>
              <w:right w:val="outset" w:sz="6" w:space="0" w:color="auto"/>
            </w:tcBorders>
            <w:shd w:val="clear" w:color="auto" w:fill="DAE9F7" w:themeFill="text2" w:themeFillTint="1A"/>
            <w:vAlign w:val="center"/>
            <w:hideMark/>
          </w:tcPr>
          <w:p w14:paraId="5673818C" w14:textId="77777777" w:rsidR="00496854" w:rsidRPr="00496854" w:rsidRDefault="00496854" w:rsidP="00496854">
            <w:pPr>
              <w:spacing w:after="80"/>
            </w:pPr>
            <w:r w:rsidRPr="00496854">
              <w:rPr>
                <w:b/>
                <w:bCs/>
              </w:rPr>
              <w:t>1</w:t>
            </w:r>
          </w:p>
        </w:tc>
        <w:tc>
          <w:tcPr>
            <w:tcW w:w="2625" w:type="dxa"/>
            <w:tcBorders>
              <w:top w:val="nil"/>
              <w:left w:val="nil"/>
              <w:bottom w:val="outset" w:sz="6" w:space="0" w:color="auto"/>
              <w:right w:val="outset" w:sz="6" w:space="0" w:color="auto"/>
            </w:tcBorders>
            <w:shd w:val="clear" w:color="auto" w:fill="80340D" w:themeFill="accent2" w:themeFillShade="80"/>
            <w:vAlign w:val="center"/>
            <w:hideMark/>
          </w:tcPr>
          <w:p w14:paraId="283DABC8" w14:textId="77777777" w:rsidR="00496854" w:rsidRPr="00496854" w:rsidRDefault="00496854" w:rsidP="00496854">
            <w:pPr>
              <w:spacing w:after="80"/>
            </w:pPr>
            <w:r w:rsidRPr="00496854">
              <w:rPr>
                <w:b/>
                <w:bCs/>
              </w:rPr>
              <w:t>1</w:t>
            </w:r>
          </w:p>
        </w:tc>
        <w:tc>
          <w:tcPr>
            <w:tcW w:w="2625" w:type="dxa"/>
            <w:tcBorders>
              <w:top w:val="nil"/>
              <w:left w:val="nil"/>
              <w:bottom w:val="outset" w:sz="6" w:space="0" w:color="auto"/>
              <w:right w:val="outset" w:sz="6" w:space="0" w:color="auto"/>
            </w:tcBorders>
            <w:shd w:val="clear" w:color="auto" w:fill="80340D" w:themeFill="accent2" w:themeFillShade="80"/>
            <w:vAlign w:val="center"/>
            <w:hideMark/>
          </w:tcPr>
          <w:p w14:paraId="60F3DBEA" w14:textId="77777777" w:rsidR="00496854" w:rsidRPr="00496854" w:rsidRDefault="00496854" w:rsidP="00496854">
            <w:pPr>
              <w:spacing w:after="80"/>
            </w:pPr>
            <w:r w:rsidRPr="00496854">
              <w:rPr>
                <w:b/>
                <w:bCs/>
              </w:rPr>
              <w:t>2</w:t>
            </w:r>
          </w:p>
        </w:tc>
        <w:tc>
          <w:tcPr>
            <w:tcW w:w="2625" w:type="dxa"/>
            <w:tcBorders>
              <w:top w:val="nil"/>
              <w:left w:val="nil"/>
              <w:bottom w:val="outset" w:sz="6" w:space="0" w:color="auto"/>
              <w:right w:val="outset" w:sz="6" w:space="0" w:color="auto"/>
            </w:tcBorders>
            <w:shd w:val="clear" w:color="auto" w:fill="80340D" w:themeFill="accent2" w:themeFillShade="80"/>
            <w:vAlign w:val="center"/>
            <w:hideMark/>
          </w:tcPr>
          <w:p w14:paraId="06488C0F" w14:textId="77777777" w:rsidR="00496854" w:rsidRPr="00496854" w:rsidRDefault="00496854" w:rsidP="00496854">
            <w:pPr>
              <w:spacing w:after="80"/>
            </w:pPr>
            <w:r w:rsidRPr="00496854">
              <w:rPr>
                <w:b/>
                <w:bCs/>
              </w:rPr>
              <w:t>3</w:t>
            </w:r>
          </w:p>
        </w:tc>
        <w:tc>
          <w:tcPr>
            <w:tcW w:w="2625" w:type="dxa"/>
            <w:tcBorders>
              <w:top w:val="nil"/>
              <w:left w:val="nil"/>
              <w:bottom w:val="outset" w:sz="6" w:space="0" w:color="auto"/>
              <w:right w:val="outset" w:sz="6" w:space="0" w:color="auto"/>
            </w:tcBorders>
            <w:shd w:val="clear" w:color="auto" w:fill="80340D" w:themeFill="accent2" w:themeFillShade="80"/>
            <w:vAlign w:val="center"/>
            <w:hideMark/>
          </w:tcPr>
          <w:p w14:paraId="2831CC14" w14:textId="77777777" w:rsidR="00496854" w:rsidRPr="00496854" w:rsidRDefault="00496854" w:rsidP="00496854">
            <w:pPr>
              <w:spacing w:after="80"/>
            </w:pPr>
            <w:r w:rsidRPr="00496854">
              <w:rPr>
                <w:b/>
                <w:bCs/>
              </w:rPr>
              <w:t>4</w:t>
            </w:r>
          </w:p>
        </w:tc>
        <w:tc>
          <w:tcPr>
            <w:tcW w:w="2625" w:type="dxa"/>
            <w:tcBorders>
              <w:top w:val="nil"/>
              <w:left w:val="nil"/>
              <w:bottom w:val="outset" w:sz="6" w:space="0" w:color="auto"/>
              <w:right w:val="outset" w:sz="6" w:space="0" w:color="auto"/>
            </w:tcBorders>
            <w:shd w:val="clear" w:color="auto" w:fill="80340D" w:themeFill="accent2" w:themeFillShade="80"/>
            <w:vAlign w:val="center"/>
            <w:hideMark/>
          </w:tcPr>
          <w:p w14:paraId="196EF0B0" w14:textId="77777777" w:rsidR="00496854" w:rsidRPr="00496854" w:rsidRDefault="00496854" w:rsidP="00496854">
            <w:pPr>
              <w:spacing w:after="80"/>
            </w:pPr>
            <w:r w:rsidRPr="00496854">
              <w:rPr>
                <w:b/>
                <w:bCs/>
              </w:rPr>
              <w:t>5</w:t>
            </w:r>
          </w:p>
        </w:tc>
      </w:tr>
    </w:tbl>
    <w:p w14:paraId="107C4779" w14:textId="34D28686" w:rsidR="008A48DA" w:rsidRDefault="00496854">
      <w:pPr>
        <w:spacing w:after="80"/>
        <w:rPr>
          <w:i/>
          <w:iCs/>
        </w:rPr>
      </w:pPr>
      <w:proofErr w:type="spellStart"/>
      <w:r w:rsidRPr="00496854">
        <w:rPr>
          <w:i/>
          <w:iCs/>
        </w:rPr>
        <w:t>Cell</w:t>
      </w:r>
      <w:proofErr w:type="spellEnd"/>
      <w:r w:rsidRPr="00496854">
        <w:rPr>
          <w:i/>
          <w:iCs/>
        </w:rPr>
        <w:t xml:space="preserve"> </w:t>
      </w:r>
      <w:proofErr w:type="spellStart"/>
      <w:r w:rsidRPr="00496854">
        <w:rPr>
          <w:i/>
          <w:iCs/>
        </w:rPr>
        <w:t>value</w:t>
      </w:r>
      <w:proofErr w:type="spellEnd"/>
      <w:r w:rsidRPr="00496854">
        <w:rPr>
          <w:i/>
          <w:iCs/>
        </w:rPr>
        <w:t xml:space="preserve"> = </w:t>
      </w:r>
      <w:proofErr w:type="spellStart"/>
      <w:r w:rsidRPr="00496854">
        <w:rPr>
          <w:i/>
          <w:iCs/>
        </w:rPr>
        <w:t>risk</w:t>
      </w:r>
      <w:proofErr w:type="spellEnd"/>
      <w:r w:rsidRPr="00496854">
        <w:rPr>
          <w:i/>
          <w:iCs/>
        </w:rPr>
        <w:t xml:space="preserve"> </w:t>
      </w:r>
      <w:proofErr w:type="spellStart"/>
      <w:r w:rsidRPr="00496854">
        <w:rPr>
          <w:i/>
          <w:iCs/>
        </w:rPr>
        <w:t>score</w:t>
      </w:r>
      <w:proofErr w:type="spellEnd"/>
      <w:r w:rsidRPr="00496854">
        <w:rPr>
          <w:i/>
          <w:iCs/>
        </w:rPr>
        <w:t xml:space="preserve"> (L × S).  #n </w:t>
      </w:r>
      <w:proofErr w:type="spellStart"/>
      <w:r w:rsidRPr="00496854">
        <w:rPr>
          <w:i/>
          <w:iCs/>
        </w:rPr>
        <w:t>refers</w:t>
      </w:r>
      <w:proofErr w:type="spellEnd"/>
      <w:r w:rsidRPr="00496854">
        <w:rPr>
          <w:i/>
          <w:iCs/>
        </w:rPr>
        <w:t xml:space="preserve"> </w:t>
      </w:r>
      <w:proofErr w:type="spellStart"/>
      <w:r w:rsidRPr="00496854">
        <w:rPr>
          <w:i/>
          <w:iCs/>
        </w:rPr>
        <w:t>to</w:t>
      </w:r>
      <w:proofErr w:type="spellEnd"/>
      <w:r w:rsidRPr="00496854">
        <w:rPr>
          <w:i/>
          <w:iCs/>
        </w:rPr>
        <w:t xml:space="preserve"> </w:t>
      </w:r>
      <w:proofErr w:type="spellStart"/>
      <w:r w:rsidRPr="00496854">
        <w:rPr>
          <w:i/>
          <w:iCs/>
        </w:rPr>
        <w:t>the</w:t>
      </w:r>
      <w:proofErr w:type="spellEnd"/>
      <w:r w:rsidRPr="00496854">
        <w:rPr>
          <w:i/>
          <w:iCs/>
        </w:rPr>
        <w:t xml:space="preserve"> impact </w:t>
      </w:r>
      <w:proofErr w:type="spellStart"/>
      <w:r w:rsidRPr="00496854">
        <w:rPr>
          <w:i/>
          <w:iCs/>
        </w:rPr>
        <w:t>number</w:t>
      </w:r>
      <w:proofErr w:type="spellEnd"/>
      <w:r w:rsidRPr="00496854">
        <w:rPr>
          <w:i/>
          <w:iCs/>
        </w:rPr>
        <w:t xml:space="preserve"> in </w:t>
      </w:r>
      <w:proofErr w:type="spellStart"/>
      <w:r w:rsidRPr="00496854">
        <w:rPr>
          <w:i/>
          <w:iCs/>
        </w:rPr>
        <w:t>the</w:t>
      </w:r>
      <w:proofErr w:type="spellEnd"/>
      <w:r w:rsidRPr="00496854">
        <w:rPr>
          <w:i/>
          <w:iCs/>
        </w:rPr>
        <w:t xml:space="preserve"> </w:t>
      </w:r>
      <w:proofErr w:type="spellStart"/>
      <w:r w:rsidRPr="00496854">
        <w:rPr>
          <w:i/>
          <w:iCs/>
        </w:rPr>
        <w:t>Risk</w:t>
      </w:r>
      <w:proofErr w:type="spellEnd"/>
      <w:r w:rsidRPr="00496854">
        <w:rPr>
          <w:i/>
          <w:iCs/>
        </w:rPr>
        <w:t xml:space="preserve"> </w:t>
      </w:r>
      <w:proofErr w:type="spellStart"/>
      <w:r w:rsidRPr="00496854">
        <w:rPr>
          <w:i/>
          <w:iCs/>
        </w:rPr>
        <w:t>Register</w:t>
      </w:r>
      <w:proofErr w:type="spellEnd"/>
      <w:r w:rsidRPr="00496854">
        <w:rPr>
          <w:i/>
          <w:iCs/>
        </w:rPr>
        <w:t>.</w:t>
      </w:r>
    </w:p>
    <w:tbl>
      <w:tblPr>
        <w:tblW w:w="0" w:type="auto"/>
        <w:tblCellMar>
          <w:top w:w="15" w:type="dxa"/>
          <w:left w:w="15" w:type="dxa"/>
          <w:bottom w:w="15" w:type="dxa"/>
          <w:right w:w="15" w:type="dxa"/>
        </w:tblCellMar>
        <w:tblLook w:val="04A0" w:firstRow="1" w:lastRow="0" w:firstColumn="1" w:lastColumn="0" w:noHBand="0" w:noVBand="1"/>
      </w:tblPr>
      <w:tblGrid>
        <w:gridCol w:w="2765"/>
        <w:gridCol w:w="6261"/>
      </w:tblGrid>
      <w:tr w:rsidR="00EE513A" w:rsidRPr="00EE513A" w14:paraId="691F7132" w14:textId="77777777" w:rsidTr="00EE513A">
        <w:tc>
          <w:tcPr>
            <w:tcW w:w="4995" w:type="dxa"/>
            <w:tcBorders>
              <w:top w:val="nil"/>
              <w:left w:val="nil"/>
              <w:bottom w:val="nil"/>
              <w:right w:val="nil"/>
            </w:tcBorders>
          </w:tcPr>
          <w:p w14:paraId="796FB530" w14:textId="77777777" w:rsidR="00EE513A" w:rsidRPr="00EE513A" w:rsidRDefault="00EE513A" w:rsidP="00EE513A">
            <w:pPr>
              <w:spacing w:after="80"/>
            </w:pPr>
            <w:proofErr w:type="spellStart"/>
            <w:r w:rsidRPr="00EE513A">
              <w:rPr>
                <w:b/>
                <w:bCs/>
              </w:rPr>
              <w:t>Legend</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344"/>
              <w:gridCol w:w="2375"/>
            </w:tblGrid>
            <w:tr w:rsidR="00EE513A" w:rsidRPr="00EE513A" w14:paraId="3FA0DB3D" w14:textId="77777777" w:rsidTr="00EE513A">
              <w:tc>
                <w:tcPr>
                  <w:tcW w:w="615" w:type="dxa"/>
                  <w:tcBorders>
                    <w:top w:val="outset" w:sz="6" w:space="0" w:color="auto"/>
                    <w:left w:val="outset" w:sz="6" w:space="0" w:color="auto"/>
                    <w:bottom w:val="outset" w:sz="6" w:space="0" w:color="auto"/>
                    <w:right w:val="outset" w:sz="6" w:space="0" w:color="auto"/>
                  </w:tcBorders>
                  <w:shd w:val="clear" w:color="auto" w:fill="FF0000"/>
                  <w:hideMark/>
                </w:tcPr>
                <w:p w14:paraId="4D86F15E" w14:textId="77777777" w:rsidR="00EE513A" w:rsidRPr="00EE513A" w:rsidRDefault="00EE513A" w:rsidP="00EE513A">
                  <w:pPr>
                    <w:spacing w:after="80"/>
                  </w:pPr>
                  <w:r w:rsidRPr="00EE513A">
                    <w:t xml:space="preserve"> </w:t>
                  </w:r>
                </w:p>
              </w:tc>
              <w:tc>
                <w:tcPr>
                  <w:tcW w:w="3750" w:type="dxa"/>
                  <w:tcBorders>
                    <w:top w:val="outset" w:sz="6" w:space="0" w:color="auto"/>
                    <w:left w:val="nil"/>
                    <w:bottom w:val="outset" w:sz="6" w:space="0" w:color="auto"/>
                    <w:right w:val="outset" w:sz="6" w:space="0" w:color="auto"/>
                  </w:tcBorders>
                  <w:vAlign w:val="center"/>
                  <w:hideMark/>
                </w:tcPr>
                <w:p w14:paraId="4CE67199" w14:textId="77777777" w:rsidR="00EE513A" w:rsidRPr="00EE513A" w:rsidRDefault="00EE513A" w:rsidP="00EE513A">
                  <w:pPr>
                    <w:spacing w:after="80"/>
                  </w:pPr>
                  <w:proofErr w:type="spellStart"/>
                  <w:r w:rsidRPr="00EE513A">
                    <w:t>Critical</w:t>
                  </w:r>
                  <w:proofErr w:type="spellEnd"/>
                  <w:r w:rsidRPr="00EE513A">
                    <w:t xml:space="preserve">  (≥ 16)</w:t>
                  </w:r>
                </w:p>
              </w:tc>
            </w:tr>
            <w:tr w:rsidR="00EE513A" w:rsidRPr="00EE513A" w14:paraId="0B6A442A" w14:textId="77777777" w:rsidTr="00EE513A">
              <w:tc>
                <w:tcPr>
                  <w:tcW w:w="615" w:type="dxa"/>
                  <w:tcBorders>
                    <w:top w:val="nil"/>
                    <w:left w:val="outset" w:sz="6" w:space="0" w:color="auto"/>
                    <w:bottom w:val="outset" w:sz="6" w:space="0" w:color="auto"/>
                    <w:right w:val="outset" w:sz="6" w:space="0" w:color="auto"/>
                  </w:tcBorders>
                  <w:shd w:val="clear" w:color="auto" w:fill="E97132" w:themeFill="accent2"/>
                  <w:hideMark/>
                </w:tcPr>
                <w:p w14:paraId="19079924" w14:textId="77777777" w:rsidR="00EE513A" w:rsidRPr="00EE513A" w:rsidRDefault="00EE513A" w:rsidP="00EE513A">
                  <w:pPr>
                    <w:spacing w:after="80"/>
                  </w:pPr>
                  <w:r w:rsidRPr="00EE513A">
                    <w:t xml:space="preserve"> </w:t>
                  </w:r>
                </w:p>
              </w:tc>
              <w:tc>
                <w:tcPr>
                  <w:tcW w:w="3750" w:type="dxa"/>
                  <w:tcBorders>
                    <w:top w:val="nil"/>
                    <w:left w:val="nil"/>
                    <w:bottom w:val="outset" w:sz="6" w:space="0" w:color="auto"/>
                    <w:right w:val="outset" w:sz="6" w:space="0" w:color="auto"/>
                  </w:tcBorders>
                  <w:vAlign w:val="center"/>
                  <w:hideMark/>
                </w:tcPr>
                <w:p w14:paraId="538AB5B8" w14:textId="77777777" w:rsidR="00EE513A" w:rsidRPr="00EE513A" w:rsidRDefault="00EE513A" w:rsidP="00EE513A">
                  <w:pPr>
                    <w:spacing w:after="80"/>
                  </w:pPr>
                  <w:proofErr w:type="spellStart"/>
                  <w:r w:rsidRPr="00EE513A">
                    <w:t>High</w:t>
                  </w:r>
                  <w:proofErr w:type="spellEnd"/>
                  <w:r w:rsidRPr="00EE513A">
                    <w:t xml:space="preserve">  (9 – 15)</w:t>
                  </w:r>
                </w:p>
              </w:tc>
            </w:tr>
            <w:tr w:rsidR="00EE513A" w:rsidRPr="00EE513A" w14:paraId="3B9BD4D9" w14:textId="77777777" w:rsidTr="00EE513A">
              <w:tc>
                <w:tcPr>
                  <w:tcW w:w="615" w:type="dxa"/>
                  <w:tcBorders>
                    <w:top w:val="nil"/>
                    <w:left w:val="outset" w:sz="6" w:space="0" w:color="auto"/>
                    <w:bottom w:val="outset" w:sz="6" w:space="0" w:color="auto"/>
                    <w:right w:val="outset" w:sz="6" w:space="0" w:color="auto"/>
                  </w:tcBorders>
                  <w:shd w:val="clear" w:color="auto" w:fill="80340D" w:themeFill="accent2" w:themeFillShade="80"/>
                  <w:hideMark/>
                </w:tcPr>
                <w:p w14:paraId="06C5BD74" w14:textId="77777777" w:rsidR="00EE513A" w:rsidRPr="00EE513A" w:rsidRDefault="00EE513A" w:rsidP="00EE513A">
                  <w:pPr>
                    <w:spacing w:after="80"/>
                  </w:pPr>
                  <w:r w:rsidRPr="00EE513A">
                    <w:t xml:space="preserve"> </w:t>
                  </w:r>
                </w:p>
              </w:tc>
              <w:tc>
                <w:tcPr>
                  <w:tcW w:w="3750" w:type="dxa"/>
                  <w:tcBorders>
                    <w:top w:val="nil"/>
                    <w:left w:val="nil"/>
                    <w:bottom w:val="outset" w:sz="6" w:space="0" w:color="auto"/>
                    <w:right w:val="outset" w:sz="6" w:space="0" w:color="auto"/>
                  </w:tcBorders>
                  <w:vAlign w:val="center"/>
                  <w:hideMark/>
                </w:tcPr>
                <w:p w14:paraId="6B01B579" w14:textId="77777777" w:rsidR="00EE513A" w:rsidRPr="00EE513A" w:rsidRDefault="00EE513A" w:rsidP="00EE513A">
                  <w:pPr>
                    <w:spacing w:after="80"/>
                  </w:pPr>
                  <w:r w:rsidRPr="00EE513A">
                    <w:t>Medium  (&lt; 9)</w:t>
                  </w:r>
                </w:p>
              </w:tc>
            </w:tr>
          </w:tbl>
          <w:p w14:paraId="64416644" w14:textId="77777777" w:rsidR="00EE513A" w:rsidRPr="00EE513A" w:rsidRDefault="00EE513A" w:rsidP="00EE513A">
            <w:pPr>
              <w:spacing w:after="80"/>
            </w:pPr>
          </w:p>
        </w:tc>
        <w:tc>
          <w:tcPr>
            <w:tcW w:w="11190" w:type="dxa"/>
            <w:tcBorders>
              <w:top w:val="nil"/>
              <w:left w:val="nil"/>
              <w:bottom w:val="nil"/>
              <w:right w:val="nil"/>
            </w:tcBorders>
            <w:hideMark/>
          </w:tcPr>
          <w:p w14:paraId="3BFD2BF3" w14:textId="77777777" w:rsidR="00EE513A" w:rsidRPr="00EE513A" w:rsidRDefault="00EE513A" w:rsidP="00EE513A">
            <w:pPr>
              <w:spacing w:after="80"/>
            </w:pPr>
            <w:proofErr w:type="spellStart"/>
            <w:r w:rsidRPr="00EE513A">
              <w:rPr>
                <w:b/>
                <w:bCs/>
              </w:rPr>
              <w:t>Key</w:t>
            </w:r>
            <w:proofErr w:type="spellEnd"/>
            <w:r w:rsidRPr="00EE513A">
              <w:rPr>
                <w:b/>
                <w:bCs/>
              </w:rPr>
              <w:t xml:space="preserve"> — </w:t>
            </w:r>
            <w:proofErr w:type="spellStart"/>
            <w:r w:rsidRPr="00EE513A">
              <w:rPr>
                <w:b/>
                <w:bCs/>
              </w:rPr>
              <w:t>Impacts</w:t>
            </w:r>
            <w:proofErr w:type="spellEnd"/>
            <w:r w:rsidRPr="00EE513A">
              <w:rPr>
                <w:b/>
                <w:bCs/>
              </w:rPr>
              <w:t xml:space="preserve"> (</w:t>
            </w:r>
            <w:proofErr w:type="spellStart"/>
            <w:r w:rsidRPr="00EE513A">
              <w:rPr>
                <w:b/>
                <w:bCs/>
              </w:rPr>
              <w:t>Risk</w:t>
            </w:r>
            <w:proofErr w:type="spellEnd"/>
            <w:r w:rsidRPr="00EE513A">
              <w:rPr>
                <w:b/>
                <w:bCs/>
              </w:rPr>
              <w:t xml:space="preserve"> </w:t>
            </w:r>
            <w:proofErr w:type="spellStart"/>
            <w:r w:rsidRPr="00EE513A">
              <w:rPr>
                <w:b/>
                <w:bCs/>
              </w:rPr>
              <w:t>Register</w:t>
            </w:r>
            <w:proofErr w:type="spellEnd"/>
            <w:r w:rsidRPr="00EE513A">
              <w:rPr>
                <w:b/>
                <w:bCs/>
              </w:rPr>
              <w:t>)</w:t>
            </w:r>
          </w:p>
          <w:tbl>
            <w:tblPr>
              <w:tblStyle w:val="GridTable2-Accent1"/>
              <w:tblW w:w="0" w:type="auto"/>
              <w:tblLook w:val="04A0" w:firstRow="1" w:lastRow="0" w:firstColumn="1" w:lastColumn="0" w:noHBand="0" w:noVBand="1"/>
            </w:tblPr>
            <w:tblGrid>
              <w:gridCol w:w="1065"/>
              <w:gridCol w:w="5166"/>
            </w:tblGrid>
            <w:tr w:rsidR="00EE513A" w:rsidRPr="00EE513A" w14:paraId="521172D5" w14:textId="77777777" w:rsidTr="00EE51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hideMark/>
                </w:tcPr>
                <w:p w14:paraId="7A8BDCAB" w14:textId="77777777" w:rsidR="00EE513A" w:rsidRPr="00EE513A" w:rsidRDefault="00EE513A" w:rsidP="00EE513A">
                  <w:pPr>
                    <w:spacing w:after="80"/>
                  </w:pPr>
                  <w:r w:rsidRPr="00EE513A">
                    <w:t>#1</w:t>
                  </w:r>
                </w:p>
              </w:tc>
              <w:tc>
                <w:tcPr>
                  <w:tcW w:w="5625" w:type="dxa"/>
                  <w:hideMark/>
                </w:tcPr>
                <w:p w14:paraId="629D92B1" w14:textId="77777777" w:rsidR="00EE513A" w:rsidRPr="00EE513A" w:rsidRDefault="00EE513A" w:rsidP="00EE513A">
                  <w:pPr>
                    <w:spacing w:after="80"/>
                    <w:cnfStyle w:val="100000000000" w:firstRow="1" w:lastRow="0" w:firstColumn="0" w:lastColumn="0" w:oddVBand="0" w:evenVBand="0" w:oddHBand="0" w:evenHBand="0" w:firstRowFirstColumn="0" w:firstRowLastColumn="0" w:lastRowFirstColumn="0" w:lastRowLastColumn="0"/>
                  </w:pPr>
                  <w:r w:rsidRPr="00EE513A">
                    <w:t>CO</w:t>
                  </w:r>
                  <w:r w:rsidRPr="00EE513A">
                    <w:rPr>
                      <w:rFonts w:ascii="Cambria Math" w:hAnsi="Cambria Math" w:cs="Cambria Math"/>
                    </w:rPr>
                    <w:t>₂</w:t>
                  </w:r>
                  <w:r w:rsidRPr="00EE513A">
                    <w:t xml:space="preserve"> &amp; GHG </w:t>
                  </w:r>
                  <w:proofErr w:type="spellStart"/>
                  <w:r w:rsidRPr="00EE513A">
                    <w:t>Emissions</w:t>
                  </w:r>
                  <w:proofErr w:type="spellEnd"/>
                </w:p>
              </w:tc>
            </w:tr>
            <w:tr w:rsidR="00EE513A" w:rsidRPr="00EE513A" w14:paraId="35B0C5D4" w14:textId="77777777" w:rsidTr="00EE51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hideMark/>
                </w:tcPr>
                <w:p w14:paraId="026F29C1" w14:textId="77777777" w:rsidR="00EE513A" w:rsidRPr="00EE513A" w:rsidRDefault="00EE513A" w:rsidP="00EE513A">
                  <w:pPr>
                    <w:spacing w:after="80"/>
                  </w:pPr>
                  <w:r w:rsidRPr="00EE513A">
                    <w:t>#2</w:t>
                  </w:r>
                </w:p>
              </w:tc>
              <w:tc>
                <w:tcPr>
                  <w:tcW w:w="5625" w:type="dxa"/>
                  <w:hideMark/>
                </w:tcPr>
                <w:p w14:paraId="7DA17274" w14:textId="77777777" w:rsidR="00EE513A" w:rsidRPr="00EE513A" w:rsidRDefault="00EE513A" w:rsidP="00EE513A">
                  <w:pPr>
                    <w:spacing w:after="80"/>
                    <w:cnfStyle w:val="000000100000" w:firstRow="0" w:lastRow="0" w:firstColumn="0" w:lastColumn="0" w:oddVBand="0" w:evenVBand="0" w:oddHBand="1" w:evenHBand="0" w:firstRowFirstColumn="0" w:firstRowLastColumn="0" w:lastRowFirstColumn="0" w:lastRowLastColumn="0"/>
                  </w:pPr>
                  <w:r w:rsidRPr="00EE513A">
                    <w:t xml:space="preserve">Air </w:t>
                  </w:r>
                  <w:proofErr w:type="spellStart"/>
                  <w:r w:rsidRPr="00EE513A">
                    <w:t>Pollution</w:t>
                  </w:r>
                  <w:proofErr w:type="spellEnd"/>
                  <w:r w:rsidRPr="00EE513A">
                    <w:t xml:space="preserve"> (</w:t>
                  </w:r>
                  <w:proofErr w:type="spellStart"/>
                  <w:r w:rsidRPr="00EE513A">
                    <w:t>NOx</w:t>
                  </w:r>
                  <w:proofErr w:type="spellEnd"/>
                  <w:r w:rsidRPr="00EE513A">
                    <w:t>, PM)</w:t>
                  </w:r>
                </w:p>
              </w:tc>
            </w:tr>
            <w:tr w:rsidR="00EE513A" w:rsidRPr="00EE513A" w14:paraId="1C961E01" w14:textId="77777777" w:rsidTr="00EE513A">
              <w:tc>
                <w:tcPr>
                  <w:cnfStyle w:val="001000000000" w:firstRow="0" w:lastRow="0" w:firstColumn="1" w:lastColumn="0" w:oddVBand="0" w:evenVBand="0" w:oddHBand="0" w:evenHBand="0" w:firstRowFirstColumn="0" w:firstRowLastColumn="0" w:lastRowFirstColumn="0" w:lastRowLastColumn="0"/>
                  <w:tcW w:w="1125" w:type="dxa"/>
                  <w:hideMark/>
                </w:tcPr>
                <w:p w14:paraId="59A21FF8" w14:textId="77777777" w:rsidR="00EE513A" w:rsidRPr="00EE513A" w:rsidRDefault="00EE513A" w:rsidP="00EE513A">
                  <w:pPr>
                    <w:spacing w:after="80"/>
                  </w:pPr>
                  <w:r w:rsidRPr="00EE513A">
                    <w:t>#3</w:t>
                  </w:r>
                </w:p>
              </w:tc>
              <w:tc>
                <w:tcPr>
                  <w:tcW w:w="5625" w:type="dxa"/>
                  <w:hideMark/>
                </w:tcPr>
                <w:p w14:paraId="3BB151A6" w14:textId="77777777" w:rsidR="00EE513A" w:rsidRPr="00EE513A" w:rsidRDefault="00EE513A" w:rsidP="00EE513A">
                  <w:pPr>
                    <w:spacing w:after="80"/>
                    <w:cnfStyle w:val="000000000000" w:firstRow="0" w:lastRow="0" w:firstColumn="0" w:lastColumn="0" w:oddVBand="0" w:evenVBand="0" w:oddHBand="0" w:evenHBand="0" w:firstRowFirstColumn="0" w:firstRowLastColumn="0" w:lastRowFirstColumn="0" w:lastRowLastColumn="0"/>
                  </w:pPr>
                  <w:proofErr w:type="spellStart"/>
                  <w:r w:rsidRPr="00EE513A">
                    <w:t>Resource</w:t>
                  </w:r>
                  <w:proofErr w:type="spellEnd"/>
                  <w:r w:rsidRPr="00EE513A">
                    <w:t xml:space="preserve"> </w:t>
                  </w:r>
                  <w:proofErr w:type="spellStart"/>
                  <w:r w:rsidRPr="00EE513A">
                    <w:t>Depletion</w:t>
                  </w:r>
                  <w:proofErr w:type="spellEnd"/>
                  <w:r w:rsidRPr="00EE513A">
                    <w:t xml:space="preserve"> (</w:t>
                  </w:r>
                  <w:proofErr w:type="spellStart"/>
                  <w:r w:rsidRPr="00EE513A">
                    <w:t>steel</w:t>
                  </w:r>
                  <w:proofErr w:type="spellEnd"/>
                  <w:r w:rsidRPr="00EE513A">
                    <w:t xml:space="preserve">, </w:t>
                  </w:r>
                  <w:proofErr w:type="spellStart"/>
                  <w:r w:rsidRPr="00EE513A">
                    <w:t>lithium</w:t>
                  </w:r>
                  <w:proofErr w:type="spellEnd"/>
                  <w:r w:rsidRPr="00EE513A">
                    <w:t>)</w:t>
                  </w:r>
                </w:p>
              </w:tc>
            </w:tr>
            <w:tr w:rsidR="00EE513A" w:rsidRPr="00EE513A" w14:paraId="20D1AE96" w14:textId="77777777" w:rsidTr="00EE51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hideMark/>
                </w:tcPr>
                <w:p w14:paraId="4609D7E4" w14:textId="77777777" w:rsidR="00EE513A" w:rsidRPr="00EE513A" w:rsidRDefault="00EE513A" w:rsidP="00EE513A">
                  <w:pPr>
                    <w:spacing w:after="80"/>
                  </w:pPr>
                  <w:r w:rsidRPr="00EE513A">
                    <w:t>#4</w:t>
                  </w:r>
                </w:p>
              </w:tc>
              <w:tc>
                <w:tcPr>
                  <w:tcW w:w="5625" w:type="dxa"/>
                  <w:hideMark/>
                </w:tcPr>
                <w:p w14:paraId="02AC2345" w14:textId="77777777" w:rsidR="00EE513A" w:rsidRPr="00EE513A" w:rsidRDefault="00EE513A" w:rsidP="00EE513A">
                  <w:pPr>
                    <w:spacing w:after="80"/>
                    <w:cnfStyle w:val="000000100000" w:firstRow="0" w:lastRow="0" w:firstColumn="0" w:lastColumn="0" w:oddVBand="0" w:evenVBand="0" w:oddHBand="1" w:evenHBand="0" w:firstRowFirstColumn="0" w:firstRowLastColumn="0" w:lastRowFirstColumn="0" w:lastRowLastColumn="0"/>
                  </w:pPr>
                  <w:proofErr w:type="spellStart"/>
                  <w:r w:rsidRPr="00EE513A">
                    <w:t>Water</w:t>
                  </w:r>
                  <w:proofErr w:type="spellEnd"/>
                  <w:r w:rsidRPr="00EE513A">
                    <w:t xml:space="preserve"> </w:t>
                  </w:r>
                  <w:proofErr w:type="spellStart"/>
                  <w:r w:rsidRPr="00EE513A">
                    <w:t>Pollution</w:t>
                  </w:r>
                  <w:proofErr w:type="spellEnd"/>
                </w:p>
              </w:tc>
            </w:tr>
            <w:tr w:rsidR="00EE513A" w:rsidRPr="00EE513A" w14:paraId="2412D050" w14:textId="77777777" w:rsidTr="00EE513A">
              <w:tc>
                <w:tcPr>
                  <w:cnfStyle w:val="001000000000" w:firstRow="0" w:lastRow="0" w:firstColumn="1" w:lastColumn="0" w:oddVBand="0" w:evenVBand="0" w:oddHBand="0" w:evenHBand="0" w:firstRowFirstColumn="0" w:firstRowLastColumn="0" w:lastRowFirstColumn="0" w:lastRowLastColumn="0"/>
                  <w:tcW w:w="1125" w:type="dxa"/>
                  <w:hideMark/>
                </w:tcPr>
                <w:p w14:paraId="272383E4" w14:textId="77777777" w:rsidR="00EE513A" w:rsidRPr="00EE513A" w:rsidRDefault="00EE513A" w:rsidP="00EE513A">
                  <w:pPr>
                    <w:spacing w:after="80"/>
                  </w:pPr>
                  <w:r w:rsidRPr="00EE513A">
                    <w:t>#5</w:t>
                  </w:r>
                </w:p>
              </w:tc>
              <w:tc>
                <w:tcPr>
                  <w:tcW w:w="5625" w:type="dxa"/>
                  <w:hideMark/>
                </w:tcPr>
                <w:p w14:paraId="188792AE" w14:textId="77777777" w:rsidR="00EE513A" w:rsidRPr="00EE513A" w:rsidRDefault="00EE513A" w:rsidP="00EE513A">
                  <w:pPr>
                    <w:spacing w:after="80"/>
                    <w:cnfStyle w:val="000000000000" w:firstRow="0" w:lastRow="0" w:firstColumn="0" w:lastColumn="0" w:oddVBand="0" w:evenVBand="0" w:oddHBand="0" w:evenHBand="0" w:firstRowFirstColumn="0" w:firstRowLastColumn="0" w:lastRowFirstColumn="0" w:lastRowLastColumn="0"/>
                  </w:pPr>
                  <w:proofErr w:type="spellStart"/>
                  <w:r w:rsidRPr="00EE513A">
                    <w:t>Hazardous</w:t>
                  </w:r>
                  <w:proofErr w:type="spellEnd"/>
                  <w:r w:rsidRPr="00EE513A">
                    <w:t xml:space="preserve"> </w:t>
                  </w:r>
                  <w:proofErr w:type="spellStart"/>
                  <w:r w:rsidRPr="00EE513A">
                    <w:t>Waste</w:t>
                  </w:r>
                  <w:proofErr w:type="spellEnd"/>
                  <w:r w:rsidRPr="00EE513A">
                    <w:t xml:space="preserve"> (</w:t>
                  </w:r>
                  <w:proofErr w:type="spellStart"/>
                  <w:r w:rsidRPr="00EE513A">
                    <w:t>batteries</w:t>
                  </w:r>
                  <w:proofErr w:type="spellEnd"/>
                  <w:r w:rsidRPr="00EE513A">
                    <w:t>)</w:t>
                  </w:r>
                </w:p>
              </w:tc>
            </w:tr>
            <w:tr w:rsidR="00EE513A" w:rsidRPr="00EE513A" w14:paraId="6E273E06" w14:textId="77777777" w:rsidTr="00EE51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hideMark/>
                </w:tcPr>
                <w:p w14:paraId="00CE6243" w14:textId="77777777" w:rsidR="00EE513A" w:rsidRPr="00EE513A" w:rsidRDefault="00EE513A" w:rsidP="00EE513A">
                  <w:pPr>
                    <w:spacing w:after="80"/>
                  </w:pPr>
                  <w:r w:rsidRPr="00EE513A">
                    <w:t>#6</w:t>
                  </w:r>
                </w:p>
              </w:tc>
              <w:tc>
                <w:tcPr>
                  <w:tcW w:w="5625" w:type="dxa"/>
                  <w:hideMark/>
                </w:tcPr>
                <w:p w14:paraId="089C459D" w14:textId="77777777" w:rsidR="00EE513A" w:rsidRPr="00EE513A" w:rsidRDefault="00EE513A" w:rsidP="00EE513A">
                  <w:pPr>
                    <w:spacing w:after="80"/>
                    <w:cnfStyle w:val="000000100000" w:firstRow="0" w:lastRow="0" w:firstColumn="0" w:lastColumn="0" w:oddVBand="0" w:evenVBand="0" w:oddHBand="1" w:evenHBand="0" w:firstRowFirstColumn="0" w:firstRowLastColumn="0" w:lastRowFirstColumn="0" w:lastRowLastColumn="0"/>
                  </w:pPr>
                  <w:proofErr w:type="spellStart"/>
                  <w:r w:rsidRPr="00EE513A">
                    <w:t>Worker</w:t>
                  </w:r>
                  <w:proofErr w:type="spellEnd"/>
                  <w:r w:rsidRPr="00EE513A">
                    <w:t xml:space="preserve"> H&amp;S </w:t>
                  </w:r>
                  <w:proofErr w:type="spellStart"/>
                  <w:r w:rsidRPr="00EE513A">
                    <w:t>Risks</w:t>
                  </w:r>
                  <w:proofErr w:type="spellEnd"/>
                </w:p>
              </w:tc>
            </w:tr>
            <w:tr w:rsidR="00EE513A" w:rsidRPr="00EE513A" w14:paraId="5E7A96E3" w14:textId="77777777" w:rsidTr="00EE513A">
              <w:tc>
                <w:tcPr>
                  <w:cnfStyle w:val="001000000000" w:firstRow="0" w:lastRow="0" w:firstColumn="1" w:lastColumn="0" w:oddVBand="0" w:evenVBand="0" w:oddHBand="0" w:evenHBand="0" w:firstRowFirstColumn="0" w:firstRowLastColumn="0" w:lastRowFirstColumn="0" w:lastRowLastColumn="0"/>
                  <w:tcW w:w="1125" w:type="dxa"/>
                  <w:hideMark/>
                </w:tcPr>
                <w:p w14:paraId="7283550A" w14:textId="77777777" w:rsidR="00EE513A" w:rsidRPr="00EE513A" w:rsidRDefault="00EE513A" w:rsidP="00EE513A">
                  <w:pPr>
                    <w:spacing w:after="80"/>
                  </w:pPr>
                  <w:r w:rsidRPr="00EE513A">
                    <w:t>#7</w:t>
                  </w:r>
                </w:p>
              </w:tc>
              <w:tc>
                <w:tcPr>
                  <w:tcW w:w="5625" w:type="dxa"/>
                  <w:hideMark/>
                </w:tcPr>
                <w:p w14:paraId="33625599" w14:textId="77777777" w:rsidR="00EE513A" w:rsidRPr="00EE513A" w:rsidRDefault="00EE513A" w:rsidP="00EE513A">
                  <w:pPr>
                    <w:spacing w:after="80"/>
                    <w:cnfStyle w:val="000000000000" w:firstRow="0" w:lastRow="0" w:firstColumn="0" w:lastColumn="0" w:oddVBand="0" w:evenVBand="0" w:oddHBand="0" w:evenHBand="0" w:firstRowFirstColumn="0" w:firstRowLastColumn="0" w:lastRowFirstColumn="0" w:lastRowLastColumn="0"/>
                  </w:pPr>
                  <w:proofErr w:type="spellStart"/>
                  <w:r w:rsidRPr="00EE513A">
                    <w:t>Supply</w:t>
                  </w:r>
                  <w:proofErr w:type="spellEnd"/>
                  <w:r w:rsidRPr="00EE513A">
                    <w:t xml:space="preserve"> Chain </w:t>
                  </w:r>
                  <w:proofErr w:type="spellStart"/>
                  <w:r w:rsidRPr="00EE513A">
                    <w:t>Labour</w:t>
                  </w:r>
                  <w:proofErr w:type="spellEnd"/>
                  <w:r w:rsidRPr="00EE513A">
                    <w:t xml:space="preserve"> </w:t>
                  </w:r>
                  <w:proofErr w:type="spellStart"/>
                  <w:r w:rsidRPr="00EE513A">
                    <w:t>Issues</w:t>
                  </w:r>
                  <w:proofErr w:type="spellEnd"/>
                </w:p>
              </w:tc>
            </w:tr>
            <w:tr w:rsidR="00EE513A" w:rsidRPr="00EE513A" w14:paraId="5F699643" w14:textId="77777777" w:rsidTr="00EE51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hideMark/>
                </w:tcPr>
                <w:p w14:paraId="1FFB672C" w14:textId="77777777" w:rsidR="00EE513A" w:rsidRPr="00EE513A" w:rsidRDefault="00EE513A" w:rsidP="00EE513A">
                  <w:pPr>
                    <w:spacing w:after="80"/>
                  </w:pPr>
                  <w:r w:rsidRPr="00EE513A">
                    <w:t>#8</w:t>
                  </w:r>
                </w:p>
              </w:tc>
              <w:tc>
                <w:tcPr>
                  <w:tcW w:w="5625" w:type="dxa"/>
                  <w:hideMark/>
                </w:tcPr>
                <w:p w14:paraId="0AB1BB42" w14:textId="77777777" w:rsidR="00EE513A" w:rsidRPr="00EE513A" w:rsidRDefault="00EE513A" w:rsidP="00EE513A">
                  <w:pPr>
                    <w:spacing w:after="80"/>
                    <w:cnfStyle w:val="000000100000" w:firstRow="0" w:lastRow="0" w:firstColumn="0" w:lastColumn="0" w:oddVBand="0" w:evenVBand="0" w:oddHBand="1" w:evenHBand="0" w:firstRowFirstColumn="0" w:firstRowLastColumn="0" w:lastRowFirstColumn="0" w:lastRowLastColumn="0"/>
                  </w:pPr>
                  <w:r w:rsidRPr="00EE513A">
                    <w:t xml:space="preserve">Land </w:t>
                  </w:r>
                  <w:proofErr w:type="spellStart"/>
                  <w:r w:rsidRPr="00EE513A">
                    <w:t>Use</w:t>
                  </w:r>
                  <w:proofErr w:type="spellEnd"/>
                  <w:r w:rsidRPr="00EE513A">
                    <w:t xml:space="preserve"> &amp; </w:t>
                  </w:r>
                  <w:proofErr w:type="spellStart"/>
                  <w:r w:rsidRPr="00EE513A">
                    <w:t>Biodiversity</w:t>
                  </w:r>
                  <w:proofErr w:type="spellEnd"/>
                </w:p>
              </w:tc>
            </w:tr>
            <w:tr w:rsidR="00EE513A" w:rsidRPr="00EE513A" w14:paraId="1DC996A7" w14:textId="77777777" w:rsidTr="00EE513A">
              <w:tc>
                <w:tcPr>
                  <w:cnfStyle w:val="001000000000" w:firstRow="0" w:lastRow="0" w:firstColumn="1" w:lastColumn="0" w:oddVBand="0" w:evenVBand="0" w:oddHBand="0" w:evenHBand="0" w:firstRowFirstColumn="0" w:firstRowLastColumn="0" w:lastRowFirstColumn="0" w:lastRowLastColumn="0"/>
                  <w:tcW w:w="1125" w:type="dxa"/>
                  <w:hideMark/>
                </w:tcPr>
                <w:p w14:paraId="70B66686" w14:textId="77777777" w:rsidR="00EE513A" w:rsidRPr="00EE513A" w:rsidRDefault="00EE513A" w:rsidP="00EE513A">
                  <w:pPr>
                    <w:spacing w:after="80"/>
                  </w:pPr>
                  <w:r w:rsidRPr="00EE513A">
                    <w:t>#9</w:t>
                  </w:r>
                </w:p>
              </w:tc>
              <w:tc>
                <w:tcPr>
                  <w:tcW w:w="5625" w:type="dxa"/>
                  <w:hideMark/>
                </w:tcPr>
                <w:p w14:paraId="208808E2" w14:textId="77777777" w:rsidR="00EE513A" w:rsidRPr="00EE513A" w:rsidRDefault="00EE513A" w:rsidP="00EE513A">
                  <w:pPr>
                    <w:spacing w:after="80"/>
                    <w:cnfStyle w:val="000000000000" w:firstRow="0" w:lastRow="0" w:firstColumn="0" w:lastColumn="0" w:oddVBand="0" w:evenVBand="0" w:oddHBand="0" w:evenHBand="0" w:firstRowFirstColumn="0" w:firstRowLastColumn="0" w:lastRowFirstColumn="0" w:lastRowLastColumn="0"/>
                  </w:pPr>
                  <w:proofErr w:type="spellStart"/>
                  <w:r w:rsidRPr="00EE513A">
                    <w:t>Noise</w:t>
                  </w:r>
                  <w:proofErr w:type="spellEnd"/>
                  <w:r w:rsidRPr="00EE513A">
                    <w:t xml:space="preserve"> </w:t>
                  </w:r>
                  <w:proofErr w:type="spellStart"/>
                  <w:r w:rsidRPr="00EE513A">
                    <w:t>Pollution</w:t>
                  </w:r>
                  <w:proofErr w:type="spellEnd"/>
                </w:p>
              </w:tc>
            </w:tr>
            <w:tr w:rsidR="00EE513A" w:rsidRPr="00EE513A" w14:paraId="76BDCA29" w14:textId="77777777" w:rsidTr="00EE51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hideMark/>
                </w:tcPr>
                <w:p w14:paraId="59A54242" w14:textId="77777777" w:rsidR="00EE513A" w:rsidRPr="00EE513A" w:rsidRDefault="00EE513A" w:rsidP="00EE513A">
                  <w:pPr>
                    <w:spacing w:after="80"/>
                  </w:pPr>
                  <w:r w:rsidRPr="00EE513A">
                    <w:t>#10</w:t>
                  </w:r>
                </w:p>
              </w:tc>
              <w:tc>
                <w:tcPr>
                  <w:tcW w:w="5625" w:type="dxa"/>
                  <w:hideMark/>
                </w:tcPr>
                <w:p w14:paraId="33EBC3A8" w14:textId="77777777" w:rsidR="00EE513A" w:rsidRPr="00EE513A" w:rsidRDefault="00EE513A" w:rsidP="00EE513A">
                  <w:pPr>
                    <w:spacing w:after="80"/>
                    <w:cnfStyle w:val="000000100000" w:firstRow="0" w:lastRow="0" w:firstColumn="0" w:lastColumn="0" w:oddVBand="0" w:evenVBand="0" w:oddHBand="1" w:evenHBand="0" w:firstRowFirstColumn="0" w:firstRowLastColumn="0" w:lastRowFirstColumn="0" w:lastRowLastColumn="0"/>
                  </w:pPr>
                  <w:r w:rsidRPr="00EE513A">
                    <w:t xml:space="preserve">Urban </w:t>
                  </w:r>
                  <w:proofErr w:type="spellStart"/>
                  <w:r w:rsidRPr="00EE513A">
                    <w:t>Congestion</w:t>
                  </w:r>
                  <w:proofErr w:type="spellEnd"/>
                </w:p>
              </w:tc>
            </w:tr>
            <w:tr w:rsidR="00EE513A" w:rsidRPr="00EE513A" w14:paraId="6CA2437F" w14:textId="77777777" w:rsidTr="00EE513A">
              <w:tc>
                <w:tcPr>
                  <w:cnfStyle w:val="001000000000" w:firstRow="0" w:lastRow="0" w:firstColumn="1" w:lastColumn="0" w:oddVBand="0" w:evenVBand="0" w:oddHBand="0" w:evenHBand="0" w:firstRowFirstColumn="0" w:firstRowLastColumn="0" w:lastRowFirstColumn="0" w:lastRowLastColumn="0"/>
                  <w:tcW w:w="1125" w:type="dxa"/>
                  <w:hideMark/>
                </w:tcPr>
                <w:p w14:paraId="6A0187B2" w14:textId="77777777" w:rsidR="00EE513A" w:rsidRPr="00EE513A" w:rsidRDefault="00EE513A" w:rsidP="00EE513A">
                  <w:pPr>
                    <w:spacing w:after="80"/>
                  </w:pPr>
                  <w:r w:rsidRPr="00EE513A">
                    <w:t>#11</w:t>
                  </w:r>
                </w:p>
              </w:tc>
              <w:tc>
                <w:tcPr>
                  <w:tcW w:w="5625" w:type="dxa"/>
                  <w:hideMark/>
                </w:tcPr>
                <w:p w14:paraId="57BF9ACB" w14:textId="77777777" w:rsidR="00EE513A" w:rsidRPr="00EE513A" w:rsidRDefault="00EE513A" w:rsidP="00EE513A">
                  <w:pPr>
                    <w:spacing w:after="80"/>
                    <w:cnfStyle w:val="000000000000" w:firstRow="0" w:lastRow="0" w:firstColumn="0" w:lastColumn="0" w:oddVBand="0" w:evenVBand="0" w:oddHBand="0" w:evenHBand="0" w:firstRowFirstColumn="0" w:firstRowLastColumn="0" w:lastRowFirstColumn="0" w:lastRowLastColumn="0"/>
                  </w:pPr>
                  <w:r w:rsidRPr="00EE513A">
                    <w:t xml:space="preserve">Energy </w:t>
                  </w:r>
                  <w:proofErr w:type="spellStart"/>
                  <w:r w:rsidRPr="00EE513A">
                    <w:t>Consumption</w:t>
                  </w:r>
                  <w:proofErr w:type="spellEnd"/>
                  <w:r w:rsidRPr="00EE513A">
                    <w:t xml:space="preserve"> (</w:t>
                  </w:r>
                  <w:proofErr w:type="spellStart"/>
                  <w:r w:rsidRPr="00EE513A">
                    <w:t>fossil</w:t>
                  </w:r>
                  <w:proofErr w:type="spellEnd"/>
                  <w:r w:rsidRPr="00EE513A">
                    <w:t>)</w:t>
                  </w:r>
                </w:p>
              </w:tc>
            </w:tr>
            <w:tr w:rsidR="00EE513A" w:rsidRPr="00EE513A" w14:paraId="15D031A5" w14:textId="77777777" w:rsidTr="00EE51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hideMark/>
                </w:tcPr>
                <w:p w14:paraId="2804529A" w14:textId="77777777" w:rsidR="00EE513A" w:rsidRPr="00EE513A" w:rsidRDefault="00EE513A" w:rsidP="00EE513A">
                  <w:pPr>
                    <w:spacing w:after="80"/>
                  </w:pPr>
                  <w:r w:rsidRPr="00EE513A">
                    <w:t>#12</w:t>
                  </w:r>
                </w:p>
              </w:tc>
              <w:tc>
                <w:tcPr>
                  <w:tcW w:w="5625" w:type="dxa"/>
                  <w:hideMark/>
                </w:tcPr>
                <w:p w14:paraId="48E1B456" w14:textId="77777777" w:rsidR="00EE513A" w:rsidRPr="00EE513A" w:rsidRDefault="00EE513A" w:rsidP="00EE513A">
                  <w:pPr>
                    <w:spacing w:after="80"/>
                    <w:cnfStyle w:val="000000100000" w:firstRow="0" w:lastRow="0" w:firstColumn="0" w:lastColumn="0" w:oddVBand="0" w:evenVBand="0" w:oddHBand="1" w:evenHBand="0" w:firstRowFirstColumn="0" w:firstRowLastColumn="0" w:lastRowFirstColumn="0" w:lastRowLastColumn="0"/>
                  </w:pPr>
                  <w:proofErr w:type="spellStart"/>
                  <w:r w:rsidRPr="00EE513A">
                    <w:t>Consumer</w:t>
                  </w:r>
                  <w:proofErr w:type="spellEnd"/>
                  <w:r w:rsidRPr="00EE513A">
                    <w:t xml:space="preserve"> </w:t>
                  </w:r>
                  <w:proofErr w:type="spellStart"/>
                  <w:r w:rsidRPr="00EE513A">
                    <w:t>Safety</w:t>
                  </w:r>
                  <w:proofErr w:type="spellEnd"/>
                  <w:r w:rsidRPr="00EE513A">
                    <w:t xml:space="preserve"> (</w:t>
                  </w:r>
                  <w:proofErr w:type="spellStart"/>
                  <w:r w:rsidRPr="00EE513A">
                    <w:t>crashes</w:t>
                  </w:r>
                  <w:proofErr w:type="spellEnd"/>
                  <w:r w:rsidRPr="00EE513A">
                    <w:t>)</w:t>
                  </w:r>
                </w:p>
              </w:tc>
            </w:tr>
          </w:tbl>
          <w:p w14:paraId="6F0D37B8" w14:textId="77777777" w:rsidR="00EE513A" w:rsidRPr="00EE513A" w:rsidRDefault="00EE513A" w:rsidP="00EE513A">
            <w:pPr>
              <w:spacing w:after="80"/>
            </w:pPr>
          </w:p>
        </w:tc>
      </w:tr>
    </w:tbl>
    <w:p w14:paraId="4DFAD8C1" w14:textId="77777777" w:rsidR="00EE513A" w:rsidRDefault="00EE513A">
      <w:pPr>
        <w:spacing w:after="80"/>
      </w:pPr>
    </w:p>
    <w:p w14:paraId="10E9127C" w14:textId="77777777" w:rsidR="00745E71" w:rsidRDefault="00745E71">
      <w:pPr>
        <w:pStyle w:val="Heading1"/>
        <w:rPr>
          <w:lang w:val="en-GB"/>
        </w:rPr>
      </w:pPr>
    </w:p>
    <w:p w14:paraId="604F1DAC" w14:textId="77777777" w:rsidR="00745E71" w:rsidRDefault="00745E71">
      <w:pPr>
        <w:pStyle w:val="Heading1"/>
        <w:rPr>
          <w:lang w:val="en-GB"/>
        </w:rPr>
      </w:pPr>
    </w:p>
    <w:p w14:paraId="5DB5C355" w14:textId="77777777" w:rsidR="00745E71" w:rsidRDefault="00745E71">
      <w:pPr>
        <w:pStyle w:val="Heading1"/>
        <w:rPr>
          <w:lang w:val="en-GB"/>
        </w:rPr>
      </w:pPr>
    </w:p>
    <w:p w14:paraId="01E657B3" w14:textId="77777777" w:rsidR="00745E71" w:rsidRDefault="00745E71">
      <w:pPr>
        <w:pStyle w:val="Heading1"/>
        <w:rPr>
          <w:lang w:val="en-GB"/>
        </w:rPr>
      </w:pPr>
    </w:p>
    <w:p w14:paraId="4C583952" w14:textId="77777777" w:rsidR="00745E71" w:rsidRDefault="00745E71">
      <w:pPr>
        <w:pStyle w:val="Heading1"/>
        <w:rPr>
          <w:lang w:val="en-GB"/>
        </w:rPr>
      </w:pPr>
    </w:p>
    <w:p w14:paraId="0ACEB976" w14:textId="7CBF276B" w:rsidR="008A48DA" w:rsidRDefault="008B3976">
      <w:pPr>
        <w:pStyle w:val="Heading1"/>
      </w:pPr>
      <w:bookmarkStart w:id="5" w:name="_Toc232098047"/>
      <w:r>
        <w:lastRenderedPageBreak/>
        <w:t>3. Visual: Impacts Along the Value Chain and Link to SDGs</w:t>
      </w:r>
      <w:bookmarkEnd w:id="5"/>
    </w:p>
    <w:p w14:paraId="37ADA8CD" w14:textId="77777777" w:rsidR="008A48DA" w:rsidRDefault="008B3976">
      <w:pPr>
        <w:spacing w:after="160"/>
        <w:jc w:val="both"/>
      </w:pPr>
      <w:r>
        <w:t>The diagram below provides a simplified visual overview of how negative impacts flow across Firm F's value chain and which SDGs are primarily affected at each stage. (A full-colour version has been added to the company website.)</w:t>
      </w:r>
    </w:p>
    <w:p w14:paraId="1C319E83" w14:textId="77777777" w:rsidR="008A48DA" w:rsidRDefault="008A48DA">
      <w:pPr>
        <w:spacing w:after="80"/>
      </w:pPr>
    </w:p>
    <w:p w14:paraId="369AB97E" w14:textId="77777777" w:rsidR="008A48DA" w:rsidRDefault="008B3976">
      <w:pPr>
        <w:spacing w:after="160"/>
        <w:jc w:val="both"/>
      </w:pPr>
      <w:r>
        <w:rPr>
          <w:b/>
          <w:bCs/>
        </w:rPr>
        <w:t>Raw Materials → Manufacturing → Assembly → Distribution → Use Phase → End-of-Life</w:t>
      </w:r>
    </w:p>
    <w:p w14:paraId="68CAEF90" w14:textId="77777777" w:rsidR="008A48DA" w:rsidRDefault="008A48DA">
      <w:pPr>
        <w:spacing w:after="80"/>
      </w:pPr>
    </w:p>
    <w:p w14:paraId="2F2D3612" w14:textId="0F53925E" w:rsidR="00AF5342" w:rsidRDefault="00664EB1" w:rsidP="004841C2">
      <w:pPr>
        <w:spacing w:after="80"/>
        <w:rPr>
          <w:lang w:val="en-GB"/>
        </w:rPr>
      </w:pPr>
      <w:r>
        <w:rPr>
          <w:noProof/>
          <w:lang w:val="en-GB"/>
        </w:rPr>
        <w:drawing>
          <wp:inline distT="0" distB="0" distL="0" distR="0" wp14:anchorId="1422D161" wp14:editId="2422712F">
            <wp:extent cx="5731510" cy="3141345"/>
            <wp:effectExtent l="0" t="0" r="2540" b="1905"/>
            <wp:docPr id="931327315"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327315" name="Picture 1" descr="A diagram of a company&#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141345"/>
                    </a:xfrm>
                    <a:prstGeom prst="rect">
                      <a:avLst/>
                    </a:prstGeom>
                  </pic:spPr>
                </pic:pic>
              </a:graphicData>
            </a:graphic>
          </wp:inline>
        </w:drawing>
      </w:r>
    </w:p>
    <w:p w14:paraId="43A9E337" w14:textId="77777777" w:rsidR="00D8566E" w:rsidRDefault="00D8566E">
      <w:pPr>
        <w:pStyle w:val="Heading1"/>
      </w:pPr>
    </w:p>
    <w:p w14:paraId="7B1D7845" w14:textId="77777777" w:rsidR="00D8566E" w:rsidRDefault="00D8566E">
      <w:pPr>
        <w:pStyle w:val="Heading1"/>
      </w:pPr>
    </w:p>
    <w:p w14:paraId="5E452FA8" w14:textId="77777777" w:rsidR="00D8566E" w:rsidRDefault="00D8566E">
      <w:pPr>
        <w:pStyle w:val="Heading1"/>
      </w:pPr>
    </w:p>
    <w:p w14:paraId="4651ACE6" w14:textId="77777777" w:rsidR="00D8566E" w:rsidRDefault="00D8566E">
      <w:pPr>
        <w:pStyle w:val="Heading1"/>
      </w:pPr>
    </w:p>
    <w:p w14:paraId="57828C75" w14:textId="77777777" w:rsidR="00D8566E" w:rsidRDefault="00D8566E">
      <w:pPr>
        <w:pStyle w:val="Heading1"/>
      </w:pPr>
    </w:p>
    <w:p w14:paraId="03E757FF" w14:textId="77777777" w:rsidR="00D8566E" w:rsidRDefault="00D8566E">
      <w:pPr>
        <w:pStyle w:val="Heading1"/>
      </w:pPr>
    </w:p>
    <w:p w14:paraId="501C1BDA" w14:textId="77777777" w:rsidR="00D8566E" w:rsidRDefault="00D8566E">
      <w:pPr>
        <w:pStyle w:val="Heading1"/>
      </w:pPr>
    </w:p>
    <w:p w14:paraId="0A5AEC28" w14:textId="77777777" w:rsidR="00D8566E" w:rsidRDefault="00D8566E">
      <w:pPr>
        <w:pStyle w:val="Heading1"/>
      </w:pPr>
    </w:p>
    <w:p w14:paraId="0182B94C" w14:textId="61656830" w:rsidR="008A48DA" w:rsidRDefault="008B3976">
      <w:pPr>
        <w:pStyle w:val="Heading1"/>
      </w:pPr>
      <w:bookmarkStart w:id="6" w:name="_Toc232098048"/>
      <w:r>
        <w:lastRenderedPageBreak/>
        <w:t>4. Ideas to Move Firm F Towards Sustainability</w:t>
      </w:r>
      <w:bookmarkEnd w:id="6"/>
    </w:p>
    <w:p w14:paraId="0F0B3C47" w14:textId="77777777" w:rsidR="008A48DA" w:rsidRDefault="008B3976">
      <w:pPr>
        <w:spacing w:after="160"/>
        <w:jc w:val="both"/>
      </w:pPr>
      <w:r>
        <w:t>A minimum of 20 ideas have been generated to move Firm F toward sustainability. At least 10 were created by the team; AI was used to supplement the brainstorm and is referenced accordingly (Claude, 2026).</w:t>
      </w:r>
    </w:p>
    <w:p w14:paraId="3D1434F4" w14:textId="77777777" w:rsidR="008A48DA" w:rsidRDefault="008A48DA">
      <w:pPr>
        <w:spacing w:after="80"/>
      </w:pPr>
    </w:p>
    <w:p w14:paraId="4B404CB8" w14:textId="77777777" w:rsidR="008A48DA" w:rsidRDefault="008B3976">
      <w:pPr>
        <w:pStyle w:val="Heading2"/>
      </w:pPr>
      <w:bookmarkStart w:id="7" w:name="_Toc232098049"/>
      <w:r>
        <w:t>4.1 Full Idea List (20 ideas)</w:t>
      </w:r>
      <w:bookmarkEnd w:id="7"/>
    </w:p>
    <w:p w14:paraId="7CCC096E" w14:textId="3CE74928" w:rsidR="008A48DA" w:rsidRDefault="008B3976">
      <w:pPr>
        <w:pStyle w:val="ListParagraph"/>
        <w:numPr>
          <w:ilvl w:val="0"/>
          <w:numId w:val="2"/>
        </w:numPr>
        <w:spacing w:after="100"/>
      </w:pPr>
      <w:r>
        <w:t>Switch 100% of the domestic plant energy to renewable electricity (solar + wind)</w:t>
      </w:r>
      <w:r w:rsidR="006804FC">
        <w:rPr>
          <w:lang w:val="en-GB"/>
        </w:rPr>
        <w:t>.</w:t>
      </w:r>
      <w:r w:rsidR="00FF2C83">
        <w:t xml:space="preserve"> </w:t>
      </w:r>
      <w:r w:rsidR="006804FC">
        <w:rPr>
          <w:lang w:val="en-GB"/>
        </w:rPr>
        <w:t>T</w:t>
      </w:r>
      <w:r w:rsidR="007A7C2E" w:rsidRPr="007A7C2E">
        <w:t>he IEA finds that scaling up renewables, energy efficiency and electrification with technologies available today can deliver more than 80% of the emissions reductions the world needs by 2030 (International Energy Agency, 2023)</w:t>
      </w:r>
    </w:p>
    <w:p w14:paraId="3A92B1F4" w14:textId="6FEF2BE6" w:rsidR="008A48DA" w:rsidRDefault="008B3976" w:rsidP="007A7C2E">
      <w:pPr>
        <w:pStyle w:val="ListParagraph"/>
        <w:numPr>
          <w:ilvl w:val="0"/>
          <w:numId w:val="2"/>
        </w:numPr>
        <w:spacing w:after="100"/>
      </w:pPr>
      <w:r>
        <w:t>Launch a fully electric version of the Fab4WD model by Year 3</w:t>
      </w:r>
      <w:r w:rsidR="007A7C2E">
        <w:rPr>
          <w:lang w:val="en-GB"/>
        </w:rPr>
        <w:t>.</w:t>
      </w:r>
      <w:r w:rsidR="008F3087">
        <w:rPr>
          <w:lang w:val="en-GB"/>
        </w:rPr>
        <w:t xml:space="preserve"> </w:t>
      </w:r>
      <w:r w:rsidR="007A7C2E" w:rsidRPr="007A7C2E">
        <w:t>An electric model is one of the strongest decarbonisation levers available, because the lifecycle emissions of a medium-size battery-electric car are already about half those of an equivalent internal-combustion vehicle</w:t>
      </w:r>
      <w:r w:rsidR="008F3087">
        <w:rPr>
          <w:lang w:val="en-GB"/>
        </w:rPr>
        <w:t>.</w:t>
      </w:r>
      <w:r w:rsidR="007A7C2E" w:rsidRPr="007A7C2E">
        <w:t xml:space="preserve"> (International Energy Agency, 2024</w:t>
      </w:r>
      <w:r w:rsidR="009A6BCE">
        <w:rPr>
          <w:lang w:val="en-GB"/>
        </w:rPr>
        <w:t>).</w:t>
      </w:r>
    </w:p>
    <w:p w14:paraId="28C1B42F" w14:textId="5B64991B" w:rsidR="008A48DA" w:rsidRPr="009A6BCE" w:rsidRDefault="008B3976" w:rsidP="009A6BCE">
      <w:pPr>
        <w:pStyle w:val="ListParagraph"/>
        <w:numPr>
          <w:ilvl w:val="0"/>
          <w:numId w:val="2"/>
        </w:numPr>
        <w:spacing w:after="100"/>
      </w:pPr>
      <w:r>
        <w:t>Introduce a battery take-back and recycling programme for end-of-life vehicles</w:t>
      </w:r>
      <w:r w:rsidR="009A6BCE">
        <w:rPr>
          <w:lang w:val="en-GB"/>
        </w:rPr>
        <w:t>.</w:t>
      </w:r>
      <w:r w:rsidR="00931EFC">
        <w:rPr>
          <w:lang w:val="en-GB"/>
        </w:rPr>
        <w:t xml:space="preserve"> </w:t>
      </w:r>
      <w:r w:rsidR="00931EFC">
        <w:t xml:space="preserve">It </w:t>
      </w:r>
      <w:proofErr w:type="spellStart"/>
      <w:r w:rsidR="00931EFC">
        <w:t>would</w:t>
      </w:r>
      <w:proofErr w:type="spellEnd"/>
      <w:r w:rsidR="009A6BCE" w:rsidRPr="009A6BCE">
        <w:t xml:space="preserve"> </w:t>
      </w:r>
      <w:proofErr w:type="spellStart"/>
      <w:r w:rsidR="009A6BCE" w:rsidRPr="009A6BCE">
        <w:t>keep</w:t>
      </w:r>
      <w:proofErr w:type="spellEnd"/>
      <w:r w:rsidR="009A6BCE" w:rsidRPr="009A6BCE">
        <w:t xml:space="preserve"> </w:t>
      </w:r>
      <w:proofErr w:type="spellStart"/>
      <w:r w:rsidR="009A6BCE" w:rsidRPr="009A6BCE">
        <w:t>critical</w:t>
      </w:r>
      <w:proofErr w:type="spellEnd"/>
      <w:r w:rsidR="009A6BCE" w:rsidRPr="009A6BCE">
        <w:t xml:space="preserve"> </w:t>
      </w:r>
      <w:proofErr w:type="spellStart"/>
      <w:r w:rsidR="009A6BCE" w:rsidRPr="009A6BCE">
        <w:t>minerals</w:t>
      </w:r>
      <w:proofErr w:type="spellEnd"/>
      <w:r w:rsidR="009A6BCE" w:rsidRPr="009A6BCE">
        <w:t xml:space="preserve"> in </w:t>
      </w:r>
      <w:proofErr w:type="spellStart"/>
      <w:r w:rsidR="009A6BCE" w:rsidRPr="009A6BCE">
        <w:t>circulation</w:t>
      </w:r>
      <w:proofErr w:type="spellEnd"/>
      <w:r w:rsidR="009A6BCE" w:rsidRPr="009A6BCE">
        <w:t xml:space="preserve"> </w:t>
      </w:r>
      <w:proofErr w:type="spellStart"/>
      <w:r w:rsidR="009A6BCE" w:rsidRPr="009A6BCE">
        <w:t>through</w:t>
      </w:r>
      <w:proofErr w:type="spellEnd"/>
      <w:r w:rsidR="009A6BCE" w:rsidRPr="009A6BCE">
        <w:t xml:space="preserve"> </w:t>
      </w:r>
      <w:proofErr w:type="spellStart"/>
      <w:r w:rsidR="009A6BCE" w:rsidRPr="009A6BCE">
        <w:t>high</w:t>
      </w:r>
      <w:proofErr w:type="spellEnd"/>
      <w:r w:rsidR="009A6BCE" w:rsidRPr="009A6BCE">
        <w:t xml:space="preserve"> </w:t>
      </w:r>
      <w:proofErr w:type="spellStart"/>
      <w:r w:rsidR="009A6BCE" w:rsidRPr="009A6BCE">
        <w:t>rates</w:t>
      </w:r>
      <w:proofErr w:type="spellEnd"/>
      <w:r w:rsidR="009A6BCE" w:rsidRPr="009A6BCE">
        <w:t xml:space="preserve"> of material </w:t>
      </w:r>
      <w:proofErr w:type="spellStart"/>
      <w:r w:rsidR="009A6BCE" w:rsidRPr="009A6BCE">
        <w:t>recovery</w:t>
      </w:r>
      <w:proofErr w:type="spellEnd"/>
      <w:r w:rsidR="009A6BCE" w:rsidRPr="009A6BCE">
        <w:t xml:space="preserve">, </w:t>
      </w:r>
      <w:proofErr w:type="spellStart"/>
      <w:r w:rsidR="009A6BCE" w:rsidRPr="009A6BCE">
        <w:t>reducing</w:t>
      </w:r>
      <w:proofErr w:type="spellEnd"/>
      <w:r w:rsidR="009A6BCE" w:rsidRPr="009A6BCE">
        <w:t xml:space="preserve"> </w:t>
      </w:r>
      <w:proofErr w:type="spellStart"/>
      <w:r w:rsidR="009A6BCE" w:rsidRPr="009A6BCE">
        <w:t>dependence</w:t>
      </w:r>
      <w:proofErr w:type="spellEnd"/>
      <w:r w:rsidR="009A6BCE" w:rsidRPr="009A6BCE">
        <w:t xml:space="preserve"> on </w:t>
      </w:r>
      <w:proofErr w:type="spellStart"/>
      <w:r w:rsidR="009A6BCE" w:rsidRPr="009A6BCE">
        <w:t>environmentally</w:t>
      </w:r>
      <w:proofErr w:type="spellEnd"/>
      <w:r w:rsidR="009A6BCE" w:rsidRPr="009A6BCE">
        <w:t xml:space="preserve"> </w:t>
      </w:r>
      <w:proofErr w:type="spellStart"/>
      <w:r w:rsidR="009A6BCE" w:rsidRPr="009A6BCE">
        <w:t>damaging</w:t>
      </w:r>
      <w:proofErr w:type="spellEnd"/>
      <w:r w:rsidR="009A6BCE" w:rsidRPr="009A6BCE">
        <w:t xml:space="preserve"> virgin </w:t>
      </w:r>
      <w:proofErr w:type="spellStart"/>
      <w:r w:rsidR="009A6BCE" w:rsidRPr="009A6BCE">
        <w:t>mining</w:t>
      </w:r>
      <w:proofErr w:type="spellEnd"/>
      <w:r w:rsidR="009A6BCE" w:rsidRPr="009A6BCE">
        <w:t xml:space="preserve"> (Ellen </w:t>
      </w:r>
      <w:proofErr w:type="spellStart"/>
      <w:r w:rsidR="009A6BCE" w:rsidRPr="009A6BCE">
        <w:t>MacArthur</w:t>
      </w:r>
      <w:proofErr w:type="spellEnd"/>
      <w:r w:rsidR="009A6BCE" w:rsidRPr="009A6BCE">
        <w:t xml:space="preserve"> Foundation, 2025).</w:t>
      </w:r>
    </w:p>
    <w:p w14:paraId="2A2A410C" w14:textId="255FA93A" w:rsidR="008A48DA" w:rsidRPr="009A6BCE" w:rsidRDefault="008B3976" w:rsidP="009A6BCE">
      <w:pPr>
        <w:pStyle w:val="ListParagraph"/>
        <w:numPr>
          <w:ilvl w:val="0"/>
          <w:numId w:val="2"/>
        </w:numPr>
        <w:spacing w:after="100"/>
      </w:pPr>
      <w:r>
        <w:t>Partner with certified sustainable suppliers for steel and aluminium sourcing</w:t>
      </w:r>
      <w:r w:rsidR="009A6BCE">
        <w:rPr>
          <w:lang w:val="en-GB"/>
        </w:rPr>
        <w:t xml:space="preserve">. </w:t>
      </w:r>
      <w:proofErr w:type="spellStart"/>
      <w:r w:rsidR="00D70E9D">
        <w:t>C</w:t>
      </w:r>
      <w:r w:rsidR="009A6BCE" w:rsidRPr="009A6BCE">
        <w:t>ertification</w:t>
      </w:r>
      <w:proofErr w:type="spellEnd"/>
      <w:r w:rsidR="009A6BCE" w:rsidRPr="009A6BCE">
        <w:t xml:space="preserve"> </w:t>
      </w:r>
      <w:proofErr w:type="spellStart"/>
      <w:r w:rsidR="009A6BCE" w:rsidRPr="009A6BCE">
        <w:t>schemes</w:t>
      </w:r>
      <w:proofErr w:type="spellEnd"/>
      <w:r w:rsidR="009A6BCE" w:rsidRPr="009A6BCE">
        <w:t xml:space="preserve"> </w:t>
      </w:r>
      <w:proofErr w:type="spellStart"/>
      <w:r w:rsidR="009A6BCE" w:rsidRPr="009A6BCE">
        <w:t>such</w:t>
      </w:r>
      <w:proofErr w:type="spellEnd"/>
      <w:r w:rsidR="009A6BCE" w:rsidRPr="009A6BCE">
        <w:t xml:space="preserve"> as </w:t>
      </w:r>
      <w:proofErr w:type="spellStart"/>
      <w:r w:rsidR="009A6BCE" w:rsidRPr="009A6BCE">
        <w:t>ResponsibleSteel</w:t>
      </w:r>
      <w:proofErr w:type="spellEnd"/>
      <w:r w:rsidR="009A6BCE" w:rsidRPr="009A6BCE">
        <w:t xml:space="preserve"> </w:t>
      </w:r>
      <w:proofErr w:type="spellStart"/>
      <w:r w:rsidR="009A6BCE" w:rsidRPr="009A6BCE">
        <w:t>and</w:t>
      </w:r>
      <w:proofErr w:type="spellEnd"/>
      <w:r w:rsidR="009A6BCE" w:rsidRPr="009A6BCE">
        <w:t xml:space="preserve"> </w:t>
      </w:r>
      <w:proofErr w:type="spellStart"/>
      <w:r w:rsidR="009A6BCE" w:rsidRPr="009A6BCE">
        <w:t>the</w:t>
      </w:r>
      <w:proofErr w:type="spellEnd"/>
      <w:r w:rsidR="009A6BCE" w:rsidRPr="009A6BCE">
        <w:t xml:space="preserve"> Aluminium </w:t>
      </w:r>
      <w:proofErr w:type="spellStart"/>
      <w:r w:rsidR="009A6BCE" w:rsidRPr="009A6BCE">
        <w:t>Stewardship</w:t>
      </w:r>
      <w:proofErr w:type="spellEnd"/>
      <w:r w:rsidR="009A6BCE" w:rsidRPr="009A6BCE">
        <w:t xml:space="preserve"> </w:t>
      </w:r>
      <w:proofErr w:type="spellStart"/>
      <w:r w:rsidR="009A6BCE" w:rsidRPr="009A6BCE">
        <w:t>Initiative</w:t>
      </w:r>
      <w:proofErr w:type="spellEnd"/>
      <w:r w:rsidR="009A6BCE" w:rsidRPr="009A6BCE">
        <w:t xml:space="preserve"> </w:t>
      </w:r>
      <w:proofErr w:type="spellStart"/>
      <w:r w:rsidR="009A6BCE" w:rsidRPr="009A6BCE">
        <w:t>verify</w:t>
      </w:r>
      <w:proofErr w:type="spellEnd"/>
      <w:r w:rsidR="009A6BCE" w:rsidRPr="009A6BCE">
        <w:t xml:space="preserve"> </w:t>
      </w:r>
      <w:proofErr w:type="spellStart"/>
      <w:r w:rsidR="009A6BCE" w:rsidRPr="009A6BCE">
        <w:t>that</w:t>
      </w:r>
      <w:proofErr w:type="spellEnd"/>
      <w:r w:rsidR="009A6BCE" w:rsidRPr="009A6BCE">
        <w:t xml:space="preserve"> </w:t>
      </w:r>
      <w:proofErr w:type="spellStart"/>
      <w:r w:rsidR="009A6BCE" w:rsidRPr="009A6BCE">
        <w:t>producers</w:t>
      </w:r>
      <w:proofErr w:type="spellEnd"/>
      <w:r w:rsidR="009A6BCE" w:rsidRPr="009A6BCE">
        <w:t xml:space="preserve"> </w:t>
      </w:r>
      <w:proofErr w:type="spellStart"/>
      <w:r w:rsidR="009A6BCE" w:rsidRPr="009A6BCE">
        <w:t>manage</w:t>
      </w:r>
      <w:proofErr w:type="spellEnd"/>
      <w:r w:rsidR="009A6BCE" w:rsidRPr="009A6BCE">
        <w:t xml:space="preserve"> </w:t>
      </w:r>
      <w:proofErr w:type="spellStart"/>
      <w:r w:rsidR="009A6BCE" w:rsidRPr="009A6BCE">
        <w:t>greenhouse</w:t>
      </w:r>
      <w:proofErr w:type="spellEnd"/>
      <w:r w:rsidR="009A6BCE" w:rsidRPr="009A6BCE">
        <w:t xml:space="preserve">-gas </w:t>
      </w:r>
      <w:proofErr w:type="spellStart"/>
      <w:r w:rsidR="009A6BCE" w:rsidRPr="009A6BCE">
        <w:t>emissions</w:t>
      </w:r>
      <w:proofErr w:type="spellEnd"/>
      <w:r w:rsidR="009A6BCE" w:rsidRPr="009A6BCE">
        <w:t xml:space="preserve">, </w:t>
      </w:r>
      <w:proofErr w:type="spellStart"/>
      <w:r w:rsidR="009A6BCE" w:rsidRPr="009A6BCE">
        <w:t>water</w:t>
      </w:r>
      <w:proofErr w:type="spellEnd"/>
      <w:r w:rsidR="009A6BCE" w:rsidRPr="009A6BCE">
        <w:t xml:space="preserve">, </w:t>
      </w:r>
      <w:proofErr w:type="spellStart"/>
      <w:r w:rsidR="009A6BCE" w:rsidRPr="009A6BCE">
        <w:t>biodiversity</w:t>
      </w:r>
      <w:proofErr w:type="spellEnd"/>
      <w:r w:rsidR="009A6BCE" w:rsidRPr="009A6BCE">
        <w:t xml:space="preserve"> </w:t>
      </w:r>
      <w:proofErr w:type="spellStart"/>
      <w:r w:rsidR="009A6BCE" w:rsidRPr="009A6BCE">
        <w:t>and</w:t>
      </w:r>
      <w:proofErr w:type="spellEnd"/>
      <w:r w:rsidR="009A6BCE" w:rsidRPr="009A6BCE">
        <w:t xml:space="preserve"> </w:t>
      </w:r>
      <w:proofErr w:type="spellStart"/>
      <w:r w:rsidR="009A6BCE" w:rsidRPr="009A6BCE">
        <w:t>labour</w:t>
      </w:r>
      <w:proofErr w:type="spellEnd"/>
      <w:r w:rsidR="009A6BCE" w:rsidRPr="009A6BCE">
        <w:t xml:space="preserve"> </w:t>
      </w:r>
      <w:proofErr w:type="spellStart"/>
      <w:r w:rsidR="009A6BCE" w:rsidRPr="009A6BCE">
        <w:t>rights</w:t>
      </w:r>
      <w:proofErr w:type="spellEnd"/>
      <w:r w:rsidR="009A6BCE" w:rsidRPr="009A6BCE">
        <w:t xml:space="preserve"> </w:t>
      </w:r>
      <w:proofErr w:type="spellStart"/>
      <w:r w:rsidR="009A6BCE" w:rsidRPr="009A6BCE">
        <w:t>across</w:t>
      </w:r>
      <w:proofErr w:type="spellEnd"/>
      <w:r w:rsidR="009A6BCE" w:rsidRPr="009A6BCE">
        <w:t xml:space="preserve"> </w:t>
      </w:r>
      <w:proofErr w:type="spellStart"/>
      <w:r w:rsidR="009A6BCE" w:rsidRPr="009A6BCE">
        <w:t>the</w:t>
      </w:r>
      <w:proofErr w:type="spellEnd"/>
      <w:r w:rsidR="009A6BCE" w:rsidRPr="009A6BCE">
        <w:t xml:space="preserve"> </w:t>
      </w:r>
      <w:proofErr w:type="spellStart"/>
      <w:r w:rsidR="009A6BCE" w:rsidRPr="009A6BCE">
        <w:t>supply</w:t>
      </w:r>
      <w:proofErr w:type="spellEnd"/>
      <w:r w:rsidR="009A6BCE" w:rsidRPr="009A6BCE">
        <w:t xml:space="preserve"> </w:t>
      </w:r>
      <w:proofErr w:type="spellStart"/>
      <w:r w:rsidR="009A6BCE" w:rsidRPr="009A6BCE">
        <w:t>chain</w:t>
      </w:r>
      <w:proofErr w:type="spellEnd"/>
      <w:r w:rsidR="009A6BCE" w:rsidRPr="009A6BCE">
        <w:t xml:space="preserve"> (Aluminium </w:t>
      </w:r>
      <w:proofErr w:type="spellStart"/>
      <w:r w:rsidR="009A6BCE" w:rsidRPr="009A6BCE">
        <w:t>Stewardship</w:t>
      </w:r>
      <w:proofErr w:type="spellEnd"/>
      <w:r w:rsidR="009A6BCE" w:rsidRPr="009A6BCE">
        <w:t xml:space="preserve"> </w:t>
      </w:r>
      <w:proofErr w:type="spellStart"/>
      <w:r w:rsidR="009A6BCE" w:rsidRPr="009A6BCE">
        <w:t>Initiative</w:t>
      </w:r>
      <w:proofErr w:type="spellEnd"/>
      <w:r w:rsidR="009A6BCE" w:rsidRPr="009A6BCE">
        <w:t xml:space="preserve">, </w:t>
      </w:r>
      <w:proofErr w:type="spellStart"/>
      <w:r w:rsidR="009A6BCE" w:rsidRPr="009A6BCE">
        <w:t>n.d</w:t>
      </w:r>
      <w:proofErr w:type="spellEnd"/>
      <w:r w:rsidR="009A6BCE" w:rsidRPr="009A6BCE">
        <w:t xml:space="preserve">.; </w:t>
      </w:r>
      <w:proofErr w:type="spellStart"/>
      <w:r w:rsidR="009A6BCE" w:rsidRPr="009A6BCE">
        <w:t>ResponsibleSteel</w:t>
      </w:r>
      <w:proofErr w:type="spellEnd"/>
      <w:r w:rsidR="009A6BCE" w:rsidRPr="009A6BCE">
        <w:t xml:space="preserve">, </w:t>
      </w:r>
      <w:proofErr w:type="spellStart"/>
      <w:r w:rsidR="009A6BCE" w:rsidRPr="009A6BCE">
        <w:t>n.d</w:t>
      </w:r>
      <w:proofErr w:type="spellEnd"/>
      <w:r w:rsidR="009A6BCE" w:rsidRPr="009A6BCE">
        <w:t>.).</w:t>
      </w:r>
    </w:p>
    <w:p w14:paraId="320E3843" w14:textId="2ED6313F" w:rsidR="008A48DA" w:rsidRPr="006804FC" w:rsidRDefault="008B3976" w:rsidP="006804FC">
      <w:pPr>
        <w:pStyle w:val="ListParagraph"/>
        <w:numPr>
          <w:ilvl w:val="0"/>
          <w:numId w:val="2"/>
        </w:numPr>
        <w:spacing w:after="100"/>
      </w:pPr>
      <w:r>
        <w:t>Implement a carbon offset programme for emissions that cannot yet be eliminated</w:t>
      </w:r>
      <w:r w:rsidR="006804FC">
        <w:rPr>
          <w:lang w:val="en-GB"/>
        </w:rPr>
        <w:t>.</w:t>
      </w:r>
      <w:r w:rsidR="006804FC" w:rsidRPr="006804FC">
        <w:rPr>
          <w:rFonts w:eastAsia="Times New Roman"/>
          <w:sz w:val="24"/>
          <w:szCs w:val="24"/>
          <w:lang w:eastAsia="ro-RO"/>
        </w:rPr>
        <w:t xml:space="preserve"> </w:t>
      </w:r>
      <w:proofErr w:type="spellStart"/>
      <w:r w:rsidR="006804FC" w:rsidRPr="006804FC">
        <w:t>Reserving</w:t>
      </w:r>
      <w:proofErr w:type="spellEnd"/>
      <w:r w:rsidR="006804FC" w:rsidRPr="006804FC">
        <w:t xml:space="preserve"> </w:t>
      </w:r>
      <w:proofErr w:type="spellStart"/>
      <w:r w:rsidR="006804FC" w:rsidRPr="006804FC">
        <w:t>offsets</w:t>
      </w:r>
      <w:proofErr w:type="spellEnd"/>
      <w:r w:rsidR="006804FC" w:rsidRPr="006804FC">
        <w:t xml:space="preserve"> for </w:t>
      </w:r>
      <w:proofErr w:type="spellStart"/>
      <w:r w:rsidR="006804FC" w:rsidRPr="006804FC">
        <w:t>residual</w:t>
      </w:r>
      <w:proofErr w:type="spellEnd"/>
      <w:r w:rsidR="006804FC" w:rsidRPr="006804FC">
        <w:t xml:space="preserve"> </w:t>
      </w:r>
      <w:proofErr w:type="spellStart"/>
      <w:r w:rsidR="006804FC" w:rsidRPr="006804FC">
        <w:t>emissions</w:t>
      </w:r>
      <w:proofErr w:type="spellEnd"/>
      <w:r w:rsidR="006804FC" w:rsidRPr="006804FC">
        <w:t xml:space="preserve"> </w:t>
      </w:r>
      <w:proofErr w:type="spellStart"/>
      <w:r w:rsidR="006804FC" w:rsidRPr="006804FC">
        <w:t>reflects</w:t>
      </w:r>
      <w:proofErr w:type="spellEnd"/>
      <w:r w:rsidR="006804FC" w:rsidRPr="006804FC">
        <w:t xml:space="preserve"> </w:t>
      </w:r>
      <w:proofErr w:type="spellStart"/>
      <w:r w:rsidR="006804FC" w:rsidRPr="006804FC">
        <w:t>credible</w:t>
      </w:r>
      <w:proofErr w:type="spellEnd"/>
      <w:r w:rsidR="006804FC" w:rsidRPr="006804FC">
        <w:t xml:space="preserve"> practice, </w:t>
      </w:r>
      <w:proofErr w:type="spellStart"/>
      <w:r w:rsidR="006804FC" w:rsidRPr="006804FC">
        <w:t>since</w:t>
      </w:r>
      <w:proofErr w:type="spellEnd"/>
      <w:r w:rsidR="006804FC" w:rsidRPr="006804FC">
        <w:t xml:space="preserve"> </w:t>
      </w:r>
      <w:proofErr w:type="spellStart"/>
      <w:r w:rsidR="006804FC" w:rsidRPr="006804FC">
        <w:t>the</w:t>
      </w:r>
      <w:proofErr w:type="spellEnd"/>
      <w:r w:rsidR="006804FC" w:rsidRPr="006804FC">
        <w:t xml:space="preserve"> </w:t>
      </w:r>
      <w:proofErr w:type="spellStart"/>
      <w:r w:rsidR="006804FC" w:rsidRPr="006804FC">
        <w:t>Science</w:t>
      </w:r>
      <w:proofErr w:type="spellEnd"/>
      <w:r w:rsidR="006804FC" w:rsidRPr="006804FC">
        <w:t xml:space="preserve"> </w:t>
      </w:r>
      <w:proofErr w:type="spellStart"/>
      <w:r w:rsidR="006804FC" w:rsidRPr="006804FC">
        <w:t>Based</w:t>
      </w:r>
      <w:proofErr w:type="spellEnd"/>
      <w:r w:rsidR="006804FC" w:rsidRPr="006804FC">
        <w:t xml:space="preserve"> </w:t>
      </w:r>
      <w:proofErr w:type="spellStart"/>
      <w:r w:rsidR="006804FC" w:rsidRPr="006804FC">
        <w:t>Targets</w:t>
      </w:r>
      <w:proofErr w:type="spellEnd"/>
      <w:r w:rsidR="006804FC" w:rsidRPr="006804FC">
        <w:t xml:space="preserve"> </w:t>
      </w:r>
      <w:proofErr w:type="spellStart"/>
      <w:r w:rsidR="006804FC" w:rsidRPr="006804FC">
        <w:t>initiative</w:t>
      </w:r>
      <w:proofErr w:type="spellEnd"/>
      <w:r w:rsidR="006804FC" w:rsidRPr="006804FC">
        <w:t xml:space="preserve"> </w:t>
      </w:r>
      <w:proofErr w:type="spellStart"/>
      <w:r w:rsidR="006804FC" w:rsidRPr="006804FC">
        <w:t>requires</w:t>
      </w:r>
      <w:proofErr w:type="spellEnd"/>
      <w:r w:rsidR="006804FC" w:rsidRPr="006804FC">
        <w:t xml:space="preserve"> </w:t>
      </w:r>
      <w:proofErr w:type="spellStart"/>
      <w:r w:rsidR="006804FC" w:rsidRPr="006804FC">
        <w:t>companies</w:t>
      </w:r>
      <w:proofErr w:type="spellEnd"/>
      <w:r w:rsidR="006804FC" w:rsidRPr="006804FC">
        <w:t xml:space="preserve"> </w:t>
      </w:r>
      <w:proofErr w:type="spellStart"/>
      <w:r w:rsidR="006804FC" w:rsidRPr="006804FC">
        <w:t>to</w:t>
      </w:r>
      <w:proofErr w:type="spellEnd"/>
      <w:r w:rsidR="006804FC" w:rsidRPr="006804FC">
        <w:t xml:space="preserve"> </w:t>
      </w:r>
      <w:proofErr w:type="spellStart"/>
      <w:r w:rsidR="006804FC" w:rsidRPr="006804FC">
        <w:t>cut</w:t>
      </w:r>
      <w:proofErr w:type="spellEnd"/>
      <w:r w:rsidR="006804FC" w:rsidRPr="006804FC">
        <w:t xml:space="preserve"> absolute </w:t>
      </w:r>
      <w:proofErr w:type="spellStart"/>
      <w:r w:rsidR="006804FC" w:rsidRPr="006804FC">
        <w:t>emissions</w:t>
      </w:r>
      <w:proofErr w:type="spellEnd"/>
      <w:r w:rsidR="006804FC" w:rsidRPr="006804FC">
        <w:t xml:space="preserve"> </w:t>
      </w:r>
      <w:proofErr w:type="spellStart"/>
      <w:r w:rsidR="006804FC" w:rsidRPr="006804FC">
        <w:t>by</w:t>
      </w:r>
      <w:proofErr w:type="spellEnd"/>
      <w:r w:rsidR="006804FC" w:rsidRPr="006804FC">
        <w:t xml:space="preserve"> at </w:t>
      </w:r>
      <w:proofErr w:type="spellStart"/>
      <w:r w:rsidR="006804FC" w:rsidRPr="006804FC">
        <w:t>least</w:t>
      </w:r>
      <w:proofErr w:type="spellEnd"/>
      <w:r w:rsidR="006804FC" w:rsidRPr="006804FC">
        <w:t xml:space="preserve"> 90% </w:t>
      </w:r>
      <w:proofErr w:type="spellStart"/>
      <w:r w:rsidR="006804FC" w:rsidRPr="006804FC">
        <w:t>and</w:t>
      </w:r>
      <w:proofErr w:type="spellEnd"/>
      <w:r w:rsidR="006804FC" w:rsidRPr="006804FC">
        <w:t xml:space="preserve"> </w:t>
      </w:r>
      <w:proofErr w:type="spellStart"/>
      <w:r w:rsidR="006804FC" w:rsidRPr="006804FC">
        <w:t>to</w:t>
      </w:r>
      <w:proofErr w:type="spellEnd"/>
      <w:r w:rsidR="006804FC" w:rsidRPr="006804FC">
        <w:t xml:space="preserve"> </w:t>
      </w:r>
      <w:proofErr w:type="spellStart"/>
      <w:r w:rsidR="006804FC" w:rsidRPr="006804FC">
        <w:t>neutralise</w:t>
      </w:r>
      <w:proofErr w:type="spellEnd"/>
      <w:r w:rsidR="006804FC" w:rsidRPr="006804FC">
        <w:t xml:space="preserve"> </w:t>
      </w:r>
      <w:proofErr w:type="spellStart"/>
      <w:r w:rsidR="006804FC" w:rsidRPr="006804FC">
        <w:t>only</w:t>
      </w:r>
      <w:proofErr w:type="spellEnd"/>
      <w:r w:rsidR="006804FC" w:rsidRPr="006804FC">
        <w:t xml:space="preserve"> </w:t>
      </w:r>
      <w:proofErr w:type="spellStart"/>
      <w:r w:rsidR="006804FC" w:rsidRPr="006804FC">
        <w:t>the</w:t>
      </w:r>
      <w:proofErr w:type="spellEnd"/>
      <w:r w:rsidR="006804FC" w:rsidRPr="006804FC">
        <w:t xml:space="preserve"> final, </w:t>
      </w:r>
      <w:proofErr w:type="spellStart"/>
      <w:r w:rsidR="006804FC" w:rsidRPr="006804FC">
        <w:t>unavoidable</w:t>
      </w:r>
      <w:proofErr w:type="spellEnd"/>
      <w:r w:rsidR="006804FC" w:rsidRPr="006804FC">
        <w:t xml:space="preserve"> </w:t>
      </w:r>
      <w:proofErr w:type="spellStart"/>
      <w:r w:rsidR="006804FC" w:rsidRPr="006804FC">
        <w:t>share</w:t>
      </w:r>
      <w:proofErr w:type="spellEnd"/>
      <w:r w:rsidR="006804FC" w:rsidRPr="006804FC">
        <w:t xml:space="preserve"> </w:t>
      </w:r>
      <w:proofErr w:type="spellStart"/>
      <w:r w:rsidR="006804FC" w:rsidRPr="006804FC">
        <w:t>using</w:t>
      </w:r>
      <w:proofErr w:type="spellEnd"/>
      <w:r w:rsidR="006804FC" w:rsidRPr="006804FC">
        <w:t xml:space="preserve"> permanent carbon </w:t>
      </w:r>
      <w:proofErr w:type="spellStart"/>
      <w:r w:rsidR="006804FC" w:rsidRPr="006804FC">
        <w:t>removals</w:t>
      </w:r>
      <w:proofErr w:type="spellEnd"/>
      <w:r w:rsidR="006804FC" w:rsidRPr="006804FC">
        <w:t xml:space="preserve"> (</w:t>
      </w:r>
      <w:proofErr w:type="spellStart"/>
      <w:r w:rsidR="006804FC" w:rsidRPr="006804FC">
        <w:t>Science</w:t>
      </w:r>
      <w:proofErr w:type="spellEnd"/>
      <w:r w:rsidR="006804FC" w:rsidRPr="006804FC">
        <w:t xml:space="preserve"> </w:t>
      </w:r>
      <w:proofErr w:type="spellStart"/>
      <w:r w:rsidR="006804FC" w:rsidRPr="006804FC">
        <w:t>Based</w:t>
      </w:r>
      <w:proofErr w:type="spellEnd"/>
      <w:r w:rsidR="006804FC" w:rsidRPr="006804FC">
        <w:t xml:space="preserve"> </w:t>
      </w:r>
      <w:proofErr w:type="spellStart"/>
      <w:r w:rsidR="006804FC" w:rsidRPr="006804FC">
        <w:t>Targets</w:t>
      </w:r>
      <w:proofErr w:type="spellEnd"/>
      <w:r w:rsidR="006804FC" w:rsidRPr="006804FC">
        <w:t xml:space="preserve"> </w:t>
      </w:r>
      <w:proofErr w:type="spellStart"/>
      <w:r w:rsidR="006804FC" w:rsidRPr="006804FC">
        <w:t>initiative</w:t>
      </w:r>
      <w:proofErr w:type="spellEnd"/>
      <w:r w:rsidR="006804FC" w:rsidRPr="006804FC">
        <w:t xml:space="preserve">, </w:t>
      </w:r>
      <w:proofErr w:type="spellStart"/>
      <w:r w:rsidR="006804FC" w:rsidRPr="006804FC">
        <w:t>n.d</w:t>
      </w:r>
      <w:proofErr w:type="spellEnd"/>
      <w:r w:rsidR="006804FC" w:rsidRPr="006804FC">
        <w:t>.).</w:t>
      </w:r>
    </w:p>
    <w:p w14:paraId="66912014" w14:textId="07F95E86" w:rsidR="008A48DA" w:rsidRPr="006804FC" w:rsidRDefault="008B3976" w:rsidP="006804FC">
      <w:pPr>
        <w:pStyle w:val="ListParagraph"/>
        <w:numPr>
          <w:ilvl w:val="0"/>
          <w:numId w:val="2"/>
        </w:numPr>
        <w:spacing w:after="100"/>
      </w:pPr>
      <w:r>
        <w:t>Redesign the Felony model packaging to use 100% recycled/biodegradable materials</w:t>
      </w:r>
      <w:r w:rsidR="006804FC">
        <w:rPr>
          <w:lang w:val="en-GB"/>
        </w:rPr>
        <w:t xml:space="preserve">. </w:t>
      </w:r>
      <w:proofErr w:type="spellStart"/>
      <w:r w:rsidR="00092D83">
        <w:t>M</w:t>
      </w:r>
      <w:r w:rsidR="006804FC" w:rsidRPr="006804FC">
        <w:t>oving</w:t>
      </w:r>
      <w:proofErr w:type="spellEnd"/>
      <w:r w:rsidR="006804FC" w:rsidRPr="006804FC">
        <w:t xml:space="preserve"> </w:t>
      </w:r>
      <w:proofErr w:type="spellStart"/>
      <w:r w:rsidR="006804FC" w:rsidRPr="006804FC">
        <w:t>away</w:t>
      </w:r>
      <w:proofErr w:type="spellEnd"/>
      <w:r w:rsidR="006804FC" w:rsidRPr="006804FC">
        <w:t xml:space="preserve"> </w:t>
      </w:r>
      <w:proofErr w:type="spellStart"/>
      <w:r w:rsidR="006804FC" w:rsidRPr="006804FC">
        <w:t>from</w:t>
      </w:r>
      <w:proofErr w:type="spellEnd"/>
      <w:r w:rsidR="006804FC" w:rsidRPr="006804FC">
        <w:t xml:space="preserve"> single-</w:t>
      </w:r>
      <w:proofErr w:type="spellStart"/>
      <w:r w:rsidR="006804FC" w:rsidRPr="006804FC">
        <w:t>use</w:t>
      </w:r>
      <w:proofErr w:type="spellEnd"/>
      <w:r w:rsidR="006804FC" w:rsidRPr="006804FC">
        <w:t xml:space="preserve"> </w:t>
      </w:r>
      <w:proofErr w:type="spellStart"/>
      <w:r w:rsidR="006804FC" w:rsidRPr="006804FC">
        <w:t>materials</w:t>
      </w:r>
      <w:proofErr w:type="spellEnd"/>
      <w:r w:rsidR="006804FC" w:rsidRPr="006804FC">
        <w:t xml:space="preserve"> </w:t>
      </w:r>
      <w:proofErr w:type="spellStart"/>
      <w:r w:rsidR="006804FC" w:rsidRPr="006804FC">
        <w:t>eliminates</w:t>
      </w:r>
      <w:proofErr w:type="spellEnd"/>
      <w:r w:rsidR="006804FC" w:rsidRPr="006804FC">
        <w:t xml:space="preserve"> </w:t>
      </w:r>
      <w:proofErr w:type="spellStart"/>
      <w:r w:rsidR="006804FC" w:rsidRPr="006804FC">
        <w:t>avoidable</w:t>
      </w:r>
      <w:proofErr w:type="spellEnd"/>
      <w:r w:rsidR="006804FC" w:rsidRPr="006804FC">
        <w:t xml:space="preserve"> </w:t>
      </w:r>
      <w:proofErr w:type="spellStart"/>
      <w:r w:rsidR="006804FC" w:rsidRPr="006804FC">
        <w:t>waste</w:t>
      </w:r>
      <w:proofErr w:type="spellEnd"/>
      <w:r w:rsidR="006804FC" w:rsidRPr="006804FC">
        <w:t xml:space="preserve"> </w:t>
      </w:r>
      <w:proofErr w:type="spellStart"/>
      <w:r w:rsidR="006804FC" w:rsidRPr="006804FC">
        <w:t>and</w:t>
      </w:r>
      <w:proofErr w:type="spellEnd"/>
      <w:r w:rsidR="006804FC" w:rsidRPr="006804FC">
        <w:t xml:space="preserve"> </w:t>
      </w:r>
      <w:proofErr w:type="spellStart"/>
      <w:r w:rsidR="006804FC" w:rsidRPr="006804FC">
        <w:t>can</w:t>
      </w:r>
      <w:proofErr w:type="spellEnd"/>
      <w:r w:rsidR="006804FC" w:rsidRPr="006804FC">
        <w:t xml:space="preserve"> </w:t>
      </w:r>
      <w:proofErr w:type="spellStart"/>
      <w:r w:rsidR="006804FC" w:rsidRPr="006804FC">
        <w:t>also</w:t>
      </w:r>
      <w:proofErr w:type="spellEnd"/>
      <w:r w:rsidR="006804FC" w:rsidRPr="006804FC">
        <w:t xml:space="preserve"> reduce </w:t>
      </w:r>
      <w:proofErr w:type="spellStart"/>
      <w:r w:rsidR="006804FC" w:rsidRPr="006804FC">
        <w:t>greenhouse</w:t>
      </w:r>
      <w:proofErr w:type="spellEnd"/>
      <w:r w:rsidR="006804FC" w:rsidRPr="006804FC">
        <w:t xml:space="preserve">-gas </w:t>
      </w:r>
      <w:proofErr w:type="spellStart"/>
      <w:r w:rsidR="006804FC" w:rsidRPr="006804FC">
        <w:t>emissions</w:t>
      </w:r>
      <w:proofErr w:type="spellEnd"/>
      <w:r w:rsidR="006804FC" w:rsidRPr="006804FC">
        <w:t xml:space="preserve"> (Ellen </w:t>
      </w:r>
      <w:proofErr w:type="spellStart"/>
      <w:r w:rsidR="006804FC" w:rsidRPr="006804FC">
        <w:t>MacArthur</w:t>
      </w:r>
      <w:proofErr w:type="spellEnd"/>
      <w:r w:rsidR="006804FC" w:rsidRPr="006804FC">
        <w:t xml:space="preserve"> Foundation, </w:t>
      </w:r>
      <w:proofErr w:type="spellStart"/>
      <w:r w:rsidR="006804FC" w:rsidRPr="006804FC">
        <w:t>n.d</w:t>
      </w:r>
      <w:proofErr w:type="spellEnd"/>
      <w:r w:rsidR="006804FC" w:rsidRPr="006804FC">
        <w:t>.).</w:t>
      </w:r>
    </w:p>
    <w:p w14:paraId="688892E1" w14:textId="0BE4D38B" w:rsidR="008A48DA" w:rsidRPr="00533E68" w:rsidRDefault="008B3976" w:rsidP="00533E68">
      <w:pPr>
        <w:pStyle w:val="ListParagraph"/>
        <w:numPr>
          <w:ilvl w:val="0"/>
          <w:numId w:val="2"/>
        </w:numPr>
        <w:spacing w:after="100"/>
      </w:pPr>
      <w:r>
        <w:t>Introduce employee electric vehicle incentives and EV charging at all company sites</w:t>
      </w:r>
      <w:r w:rsidR="00395594">
        <w:rPr>
          <w:lang w:val="en-GB"/>
        </w:rPr>
        <w:t xml:space="preserve">. </w:t>
      </w:r>
      <w:r w:rsidR="00395594">
        <w:t xml:space="preserve">The </w:t>
      </w:r>
      <w:r w:rsidR="00395594" w:rsidRPr="00395594">
        <w:t xml:space="preserve">IEA </w:t>
      </w:r>
      <w:proofErr w:type="spellStart"/>
      <w:r w:rsidR="00395594" w:rsidRPr="00395594">
        <w:t>identifies</w:t>
      </w:r>
      <w:proofErr w:type="spellEnd"/>
      <w:r w:rsidR="00395594" w:rsidRPr="00395594">
        <w:t xml:space="preserve"> </w:t>
      </w:r>
      <w:proofErr w:type="spellStart"/>
      <w:r w:rsidR="00395594" w:rsidRPr="00395594">
        <w:t>charging</w:t>
      </w:r>
      <w:proofErr w:type="spellEnd"/>
      <w:r w:rsidR="00395594" w:rsidRPr="00395594">
        <w:t xml:space="preserve"> </w:t>
      </w:r>
      <w:proofErr w:type="spellStart"/>
      <w:r w:rsidR="00395594" w:rsidRPr="00395594">
        <w:t>availability</w:t>
      </w:r>
      <w:proofErr w:type="spellEnd"/>
      <w:r w:rsidR="00395594" w:rsidRPr="00395594">
        <w:t xml:space="preserve"> at </w:t>
      </w:r>
      <w:proofErr w:type="spellStart"/>
      <w:r w:rsidR="00395594" w:rsidRPr="00395594">
        <w:t>workplaces</w:t>
      </w:r>
      <w:proofErr w:type="spellEnd"/>
      <w:r w:rsidR="00395594" w:rsidRPr="00395594">
        <w:t xml:space="preserve"> as an important </w:t>
      </w:r>
      <w:proofErr w:type="spellStart"/>
      <w:r w:rsidR="00395594" w:rsidRPr="00395594">
        <w:t>enabler</w:t>
      </w:r>
      <w:proofErr w:type="spellEnd"/>
      <w:r w:rsidR="00395594" w:rsidRPr="00395594">
        <w:t xml:space="preserve"> of EV </w:t>
      </w:r>
      <w:proofErr w:type="spellStart"/>
      <w:r w:rsidR="00395594" w:rsidRPr="00395594">
        <w:t>adoption</w:t>
      </w:r>
      <w:proofErr w:type="spellEnd"/>
      <w:r w:rsidR="00533E68">
        <w:t>.</w:t>
      </w:r>
      <w:r w:rsidR="00395594" w:rsidRPr="00395594">
        <w:t xml:space="preserve"> (International Energy Agency, 2025).</w:t>
      </w:r>
    </w:p>
    <w:p w14:paraId="5A77A5FE" w14:textId="799751E7" w:rsidR="008A48DA" w:rsidRPr="001F1E56" w:rsidRDefault="008B3976" w:rsidP="001F1E56">
      <w:pPr>
        <w:pStyle w:val="ListParagraph"/>
        <w:numPr>
          <w:ilvl w:val="0"/>
          <w:numId w:val="2"/>
        </w:numPr>
        <w:spacing w:after="100"/>
      </w:pPr>
      <w:r>
        <w:t>Publish an annual ESG report aligned with GRI Standards for full transparency</w:t>
      </w:r>
      <w:r w:rsidR="001F1E56">
        <w:rPr>
          <w:lang w:val="en-GB"/>
        </w:rPr>
        <w:t xml:space="preserve">. </w:t>
      </w:r>
      <w:proofErr w:type="spellStart"/>
      <w:r w:rsidR="00CF1C82">
        <w:t>T</w:t>
      </w:r>
      <w:r w:rsidR="001F1E56" w:rsidRPr="001F1E56">
        <w:t>hey</w:t>
      </w:r>
      <w:proofErr w:type="spellEnd"/>
      <w:r w:rsidR="001F1E56" w:rsidRPr="001F1E56">
        <w:t xml:space="preserve"> are </w:t>
      </w:r>
      <w:proofErr w:type="spellStart"/>
      <w:r w:rsidR="001F1E56" w:rsidRPr="001F1E56">
        <w:t>the</w:t>
      </w:r>
      <w:proofErr w:type="spellEnd"/>
      <w:r w:rsidR="001F1E56" w:rsidRPr="001F1E56">
        <w:t xml:space="preserve"> </w:t>
      </w:r>
      <w:proofErr w:type="spellStart"/>
      <w:r w:rsidR="001F1E56" w:rsidRPr="001F1E56">
        <w:t>world’s</w:t>
      </w:r>
      <w:proofErr w:type="spellEnd"/>
      <w:r w:rsidR="001F1E56" w:rsidRPr="001F1E56">
        <w:t xml:space="preserve"> </w:t>
      </w:r>
      <w:proofErr w:type="spellStart"/>
      <w:r w:rsidR="001F1E56" w:rsidRPr="001F1E56">
        <w:t>most</w:t>
      </w:r>
      <w:proofErr w:type="spellEnd"/>
      <w:r w:rsidR="001F1E56" w:rsidRPr="001F1E56">
        <w:t xml:space="preserve"> </w:t>
      </w:r>
      <w:proofErr w:type="spellStart"/>
      <w:r w:rsidR="001F1E56" w:rsidRPr="001F1E56">
        <w:t>widely</w:t>
      </w:r>
      <w:proofErr w:type="spellEnd"/>
      <w:r w:rsidR="001F1E56" w:rsidRPr="001F1E56">
        <w:t xml:space="preserve"> </w:t>
      </w:r>
      <w:proofErr w:type="spellStart"/>
      <w:r w:rsidR="001F1E56" w:rsidRPr="001F1E56">
        <w:t>used</w:t>
      </w:r>
      <w:proofErr w:type="spellEnd"/>
      <w:r w:rsidR="001F1E56" w:rsidRPr="001F1E56">
        <w:t xml:space="preserve"> </w:t>
      </w:r>
      <w:proofErr w:type="spellStart"/>
      <w:r w:rsidR="001F1E56" w:rsidRPr="001F1E56">
        <w:t>framework</w:t>
      </w:r>
      <w:proofErr w:type="spellEnd"/>
      <w:r w:rsidR="001F1E56" w:rsidRPr="001F1E56">
        <w:t xml:space="preserve"> for </w:t>
      </w:r>
      <w:proofErr w:type="spellStart"/>
      <w:r w:rsidR="001F1E56" w:rsidRPr="001F1E56">
        <w:t>disclosing</w:t>
      </w:r>
      <w:proofErr w:type="spellEnd"/>
      <w:r w:rsidR="001F1E56" w:rsidRPr="001F1E56">
        <w:t xml:space="preserve"> </w:t>
      </w:r>
      <w:proofErr w:type="spellStart"/>
      <w:r w:rsidR="001F1E56" w:rsidRPr="001F1E56">
        <w:t>environmental</w:t>
      </w:r>
      <w:proofErr w:type="spellEnd"/>
      <w:r w:rsidR="001F1E56" w:rsidRPr="001F1E56">
        <w:t xml:space="preserve">, social </w:t>
      </w:r>
      <w:proofErr w:type="spellStart"/>
      <w:r w:rsidR="001F1E56" w:rsidRPr="001F1E56">
        <w:t>and</w:t>
      </w:r>
      <w:proofErr w:type="spellEnd"/>
      <w:r w:rsidR="001F1E56" w:rsidRPr="001F1E56">
        <w:t xml:space="preserve"> economic </w:t>
      </w:r>
      <w:proofErr w:type="spellStart"/>
      <w:r w:rsidR="001F1E56" w:rsidRPr="001F1E56">
        <w:t>impacts</w:t>
      </w:r>
      <w:proofErr w:type="spellEnd"/>
      <w:r w:rsidR="001F1E56" w:rsidRPr="001F1E56">
        <w:t xml:space="preserve"> in a </w:t>
      </w:r>
      <w:proofErr w:type="spellStart"/>
      <w:r w:rsidR="001F1E56" w:rsidRPr="001F1E56">
        <w:t>comparable</w:t>
      </w:r>
      <w:proofErr w:type="spellEnd"/>
      <w:r w:rsidR="001F1E56" w:rsidRPr="001F1E56">
        <w:t xml:space="preserve"> </w:t>
      </w:r>
      <w:proofErr w:type="spellStart"/>
      <w:r w:rsidR="001F1E56" w:rsidRPr="001F1E56">
        <w:t>and</w:t>
      </w:r>
      <w:proofErr w:type="spellEnd"/>
      <w:r w:rsidR="001F1E56" w:rsidRPr="001F1E56">
        <w:t xml:space="preserve"> </w:t>
      </w:r>
      <w:proofErr w:type="spellStart"/>
      <w:r w:rsidR="001F1E56" w:rsidRPr="001F1E56">
        <w:t>credible</w:t>
      </w:r>
      <w:proofErr w:type="spellEnd"/>
      <w:r w:rsidR="001F1E56" w:rsidRPr="001F1E56">
        <w:t xml:space="preserve"> </w:t>
      </w:r>
      <w:proofErr w:type="spellStart"/>
      <w:r w:rsidR="001F1E56" w:rsidRPr="001F1E56">
        <w:t>way</w:t>
      </w:r>
      <w:proofErr w:type="spellEnd"/>
      <w:r w:rsidR="001F1E56" w:rsidRPr="001F1E56">
        <w:t xml:space="preserve"> (Global </w:t>
      </w:r>
      <w:proofErr w:type="spellStart"/>
      <w:r w:rsidR="001F1E56" w:rsidRPr="001F1E56">
        <w:t>Reporting</w:t>
      </w:r>
      <w:proofErr w:type="spellEnd"/>
      <w:r w:rsidR="001F1E56" w:rsidRPr="001F1E56">
        <w:t xml:space="preserve"> </w:t>
      </w:r>
      <w:proofErr w:type="spellStart"/>
      <w:r w:rsidR="001F1E56" w:rsidRPr="001F1E56">
        <w:t>Initiative</w:t>
      </w:r>
      <w:proofErr w:type="spellEnd"/>
      <w:r w:rsidR="001F1E56" w:rsidRPr="001F1E56">
        <w:t xml:space="preserve">, </w:t>
      </w:r>
      <w:proofErr w:type="spellStart"/>
      <w:r w:rsidR="001F1E56" w:rsidRPr="001F1E56">
        <w:t>n.d</w:t>
      </w:r>
      <w:proofErr w:type="spellEnd"/>
      <w:r w:rsidR="001F1E56" w:rsidRPr="001F1E56">
        <w:t>.).</w:t>
      </w:r>
    </w:p>
    <w:p w14:paraId="3B27DC76" w14:textId="01B7226F" w:rsidR="008A48DA" w:rsidRPr="00CF1C82" w:rsidRDefault="008B3976" w:rsidP="00CF1C82">
      <w:pPr>
        <w:pStyle w:val="ListParagraph"/>
        <w:numPr>
          <w:ilvl w:val="0"/>
          <w:numId w:val="2"/>
        </w:numPr>
        <w:spacing w:after="100"/>
      </w:pPr>
      <w:r>
        <w:t>Reduce plant utilisation over-capacity by optimising production scheduling</w:t>
      </w:r>
      <w:r w:rsidR="00CF1C82">
        <w:rPr>
          <w:lang w:val="en-GB"/>
        </w:rPr>
        <w:t xml:space="preserve">. </w:t>
      </w:r>
      <w:r w:rsidR="00CF1C82">
        <w:t xml:space="preserve">The </w:t>
      </w:r>
      <w:r w:rsidR="00CF1C82" w:rsidRPr="00CF1C82">
        <w:t xml:space="preserve">IEA notes </w:t>
      </w:r>
      <w:proofErr w:type="spellStart"/>
      <w:r w:rsidR="00CF1C82" w:rsidRPr="00CF1C82">
        <w:t>that</w:t>
      </w:r>
      <w:proofErr w:type="spellEnd"/>
      <w:r w:rsidR="00CF1C82" w:rsidRPr="00CF1C82">
        <w:t xml:space="preserve"> basic </w:t>
      </w:r>
      <w:proofErr w:type="spellStart"/>
      <w:r w:rsidR="00CF1C82" w:rsidRPr="00CF1C82">
        <w:t>operational</w:t>
      </w:r>
      <w:proofErr w:type="spellEnd"/>
      <w:r w:rsidR="00CF1C82" w:rsidRPr="00CF1C82">
        <w:t xml:space="preserve"> </w:t>
      </w:r>
      <w:proofErr w:type="spellStart"/>
      <w:r w:rsidR="00CF1C82" w:rsidRPr="00CF1C82">
        <w:t>optimisation</w:t>
      </w:r>
      <w:proofErr w:type="spellEnd"/>
      <w:r w:rsidR="00CF1C82" w:rsidRPr="00CF1C82">
        <w:t xml:space="preserve"> </w:t>
      </w:r>
      <w:proofErr w:type="spellStart"/>
      <w:r w:rsidR="00CF1C82" w:rsidRPr="00CF1C82">
        <w:t>and</w:t>
      </w:r>
      <w:proofErr w:type="spellEnd"/>
      <w:r w:rsidR="00CF1C82" w:rsidRPr="00CF1C82">
        <w:t xml:space="preserve"> </w:t>
      </w:r>
      <w:proofErr w:type="spellStart"/>
      <w:r w:rsidR="00CF1C82" w:rsidRPr="00CF1C82">
        <w:t>energy-efficiency</w:t>
      </w:r>
      <w:proofErr w:type="spellEnd"/>
      <w:r w:rsidR="00CF1C82" w:rsidRPr="00CF1C82">
        <w:t xml:space="preserve"> </w:t>
      </w:r>
      <w:proofErr w:type="spellStart"/>
      <w:r w:rsidR="00CF1C82" w:rsidRPr="00CF1C82">
        <w:t>measures</w:t>
      </w:r>
      <w:proofErr w:type="spellEnd"/>
      <w:r w:rsidR="00CF1C82" w:rsidRPr="00CF1C82">
        <w:t xml:space="preserve"> </w:t>
      </w:r>
      <w:proofErr w:type="spellStart"/>
      <w:r w:rsidR="00CF1C82" w:rsidRPr="00CF1C82">
        <w:t>can</w:t>
      </w:r>
      <w:proofErr w:type="spellEnd"/>
      <w:r w:rsidR="00CF1C82" w:rsidRPr="00CF1C82">
        <w:t xml:space="preserve"> </w:t>
      </w:r>
      <w:proofErr w:type="spellStart"/>
      <w:r w:rsidR="00CF1C82" w:rsidRPr="00CF1C82">
        <w:t>deliver</w:t>
      </w:r>
      <w:proofErr w:type="spellEnd"/>
      <w:r w:rsidR="00CF1C82" w:rsidRPr="00CF1C82">
        <w:t xml:space="preserve"> </w:t>
      </w:r>
      <w:proofErr w:type="spellStart"/>
      <w:r w:rsidR="00CF1C82" w:rsidRPr="00CF1C82">
        <w:t>immediate</w:t>
      </w:r>
      <w:proofErr w:type="spellEnd"/>
      <w:r w:rsidR="00CF1C82" w:rsidRPr="00CF1C82">
        <w:t xml:space="preserve"> </w:t>
      </w:r>
      <w:proofErr w:type="spellStart"/>
      <w:r w:rsidR="00CF1C82" w:rsidRPr="00CF1C82">
        <w:t>emissions</w:t>
      </w:r>
      <w:proofErr w:type="spellEnd"/>
      <w:r w:rsidR="00CF1C82" w:rsidRPr="00CF1C82">
        <w:t xml:space="preserve"> </w:t>
      </w:r>
      <w:proofErr w:type="spellStart"/>
      <w:r w:rsidR="00CF1C82" w:rsidRPr="00CF1C82">
        <w:t>reductions</w:t>
      </w:r>
      <w:proofErr w:type="spellEnd"/>
      <w:r w:rsidR="00CF1C82" w:rsidRPr="00CF1C82">
        <w:t xml:space="preserve"> at </w:t>
      </w:r>
      <w:proofErr w:type="spellStart"/>
      <w:r w:rsidR="00CF1C82" w:rsidRPr="00CF1C82">
        <w:t>comparatively</w:t>
      </w:r>
      <w:proofErr w:type="spellEnd"/>
      <w:r w:rsidR="00CF1C82" w:rsidRPr="00CF1C82">
        <w:t xml:space="preserve"> </w:t>
      </w:r>
      <w:proofErr w:type="spellStart"/>
      <w:r w:rsidR="00CF1C82" w:rsidRPr="00CF1C82">
        <w:t>low</w:t>
      </w:r>
      <w:proofErr w:type="spellEnd"/>
      <w:r w:rsidR="00CF1C82" w:rsidRPr="00CF1C82">
        <w:t xml:space="preserve"> cost (International Energy Agency, </w:t>
      </w:r>
      <w:proofErr w:type="spellStart"/>
      <w:r w:rsidR="00CF1C82" w:rsidRPr="00CF1C82">
        <w:t>n.d</w:t>
      </w:r>
      <w:proofErr w:type="spellEnd"/>
      <w:r w:rsidR="00CF1C82" w:rsidRPr="00CF1C82">
        <w:t>.).</w:t>
      </w:r>
    </w:p>
    <w:p w14:paraId="034176E2" w14:textId="7C1DAD9D" w:rsidR="008A48DA" w:rsidRPr="00E80B89" w:rsidRDefault="008B3976" w:rsidP="00E80B89">
      <w:pPr>
        <w:pStyle w:val="ListParagraph"/>
        <w:numPr>
          <w:ilvl w:val="0"/>
          <w:numId w:val="2"/>
        </w:numPr>
        <w:spacing w:after="100"/>
      </w:pPr>
      <w:r>
        <w:t>Partner with city governments to provide EV fleet vehicles for public transport</w:t>
      </w:r>
      <w:r w:rsidR="00E80B89">
        <w:rPr>
          <w:lang w:val="en-GB"/>
        </w:rPr>
        <w:t xml:space="preserve">. </w:t>
      </w:r>
      <w:proofErr w:type="spellStart"/>
      <w:r w:rsidR="00E80B89">
        <w:t>W</w:t>
      </w:r>
      <w:r w:rsidR="00E80B89" w:rsidRPr="00E80B89">
        <w:t>ith</w:t>
      </w:r>
      <w:proofErr w:type="spellEnd"/>
      <w:r w:rsidR="00E80B89" w:rsidRPr="00E80B89">
        <w:t xml:space="preserve"> UNEP </w:t>
      </w:r>
      <w:proofErr w:type="spellStart"/>
      <w:r w:rsidR="00E80B89" w:rsidRPr="00E80B89">
        <w:t>estimating</w:t>
      </w:r>
      <w:proofErr w:type="spellEnd"/>
      <w:r w:rsidR="00E80B89" w:rsidRPr="00E80B89">
        <w:t xml:space="preserve"> </w:t>
      </w:r>
      <w:proofErr w:type="spellStart"/>
      <w:r w:rsidR="00E80B89" w:rsidRPr="00E80B89">
        <w:t>that</w:t>
      </w:r>
      <w:proofErr w:type="spellEnd"/>
      <w:r w:rsidR="00E80B89" w:rsidRPr="00E80B89">
        <w:t xml:space="preserve"> </w:t>
      </w:r>
      <w:proofErr w:type="spellStart"/>
      <w:r w:rsidR="00E80B89" w:rsidRPr="00E80B89">
        <w:t>support</w:t>
      </w:r>
      <w:proofErr w:type="spellEnd"/>
      <w:r w:rsidR="00E80B89" w:rsidRPr="00E80B89">
        <w:t xml:space="preserve"> for zero-</w:t>
      </w:r>
      <w:proofErr w:type="spellStart"/>
      <w:r w:rsidR="00E80B89" w:rsidRPr="00E80B89">
        <w:t>emission</w:t>
      </w:r>
      <w:proofErr w:type="spellEnd"/>
      <w:r w:rsidR="00E80B89" w:rsidRPr="00E80B89">
        <w:t xml:space="preserve"> </w:t>
      </w:r>
      <w:proofErr w:type="spellStart"/>
      <w:r w:rsidR="00E80B89" w:rsidRPr="00E80B89">
        <w:t>buses</w:t>
      </w:r>
      <w:proofErr w:type="spellEnd"/>
      <w:r w:rsidR="00E80B89" w:rsidRPr="00E80B89">
        <w:t xml:space="preserve"> </w:t>
      </w:r>
      <w:proofErr w:type="spellStart"/>
      <w:r w:rsidR="00E80B89" w:rsidRPr="00E80B89">
        <w:t>can</w:t>
      </w:r>
      <w:proofErr w:type="spellEnd"/>
      <w:r w:rsidR="00E80B89" w:rsidRPr="00E80B89">
        <w:t xml:space="preserve"> </w:t>
      </w:r>
      <w:proofErr w:type="spellStart"/>
      <w:r w:rsidR="00E80B89" w:rsidRPr="00E80B89">
        <w:t>prevent</w:t>
      </w:r>
      <w:proofErr w:type="spellEnd"/>
      <w:r w:rsidR="00E80B89" w:rsidRPr="00E80B89">
        <w:t xml:space="preserve"> </w:t>
      </w:r>
      <w:proofErr w:type="spellStart"/>
      <w:r w:rsidR="00E80B89" w:rsidRPr="00E80B89">
        <w:t>thousands</w:t>
      </w:r>
      <w:proofErr w:type="spellEnd"/>
      <w:r w:rsidR="00E80B89" w:rsidRPr="00E80B89">
        <w:t xml:space="preserve"> of premature </w:t>
      </w:r>
      <w:proofErr w:type="spellStart"/>
      <w:r w:rsidR="00E80B89" w:rsidRPr="00E80B89">
        <w:t>deaths</w:t>
      </w:r>
      <w:proofErr w:type="spellEnd"/>
      <w:r w:rsidR="00E80B89" w:rsidRPr="00E80B89">
        <w:t xml:space="preserve"> </w:t>
      </w:r>
      <w:proofErr w:type="spellStart"/>
      <w:r w:rsidR="00E80B89" w:rsidRPr="00E80B89">
        <w:t>and</w:t>
      </w:r>
      <w:proofErr w:type="spellEnd"/>
      <w:r w:rsidR="00E80B89" w:rsidRPr="00E80B89">
        <w:t xml:space="preserve"> </w:t>
      </w:r>
      <w:proofErr w:type="spellStart"/>
      <w:r w:rsidR="00E80B89" w:rsidRPr="00E80B89">
        <w:t>avoid</w:t>
      </w:r>
      <w:proofErr w:type="spellEnd"/>
      <w:r w:rsidR="00E80B89" w:rsidRPr="00E80B89">
        <w:t xml:space="preserve"> </w:t>
      </w:r>
      <w:proofErr w:type="spellStart"/>
      <w:r w:rsidR="00E80B89" w:rsidRPr="00E80B89">
        <w:t>millions</w:t>
      </w:r>
      <w:proofErr w:type="spellEnd"/>
      <w:r w:rsidR="00E80B89" w:rsidRPr="00E80B89">
        <w:t xml:space="preserve"> of </w:t>
      </w:r>
      <w:proofErr w:type="spellStart"/>
      <w:r w:rsidR="00E80B89" w:rsidRPr="00E80B89">
        <w:t>tonnes</w:t>
      </w:r>
      <w:proofErr w:type="spellEnd"/>
      <w:r w:rsidR="00E80B89" w:rsidRPr="00E80B89">
        <w:t xml:space="preserve"> of CO</w:t>
      </w:r>
      <w:r w:rsidR="00E80B89" w:rsidRPr="00E80B89">
        <w:rPr>
          <w:rFonts w:ascii="Cambria Math" w:hAnsi="Cambria Math" w:cs="Cambria Math"/>
        </w:rPr>
        <w:t>₂</w:t>
      </w:r>
      <w:r w:rsidR="00E80B89" w:rsidRPr="00E80B89">
        <w:t xml:space="preserve"> </w:t>
      </w:r>
      <w:proofErr w:type="spellStart"/>
      <w:r w:rsidR="00E80B89" w:rsidRPr="00E80B89">
        <w:t>emissions</w:t>
      </w:r>
      <w:proofErr w:type="spellEnd"/>
      <w:r w:rsidR="00E80B89" w:rsidRPr="00E80B89">
        <w:t xml:space="preserve"> (United </w:t>
      </w:r>
      <w:proofErr w:type="spellStart"/>
      <w:r w:rsidR="00E80B89" w:rsidRPr="00E80B89">
        <w:t>Nations</w:t>
      </w:r>
      <w:proofErr w:type="spellEnd"/>
      <w:r w:rsidR="00E80B89" w:rsidRPr="00E80B89">
        <w:t xml:space="preserve"> </w:t>
      </w:r>
      <w:proofErr w:type="spellStart"/>
      <w:r w:rsidR="00E80B89" w:rsidRPr="00E80B89">
        <w:t>Environment</w:t>
      </w:r>
      <w:proofErr w:type="spellEnd"/>
      <w:r w:rsidR="00E80B89" w:rsidRPr="00E80B89">
        <w:t xml:space="preserve"> </w:t>
      </w:r>
      <w:proofErr w:type="spellStart"/>
      <w:r w:rsidR="00E80B89" w:rsidRPr="00E80B89">
        <w:t>Programme</w:t>
      </w:r>
      <w:proofErr w:type="spellEnd"/>
      <w:r w:rsidR="00E80B89" w:rsidRPr="00E80B89">
        <w:t xml:space="preserve">, </w:t>
      </w:r>
      <w:proofErr w:type="spellStart"/>
      <w:r w:rsidR="00E80B89" w:rsidRPr="00E80B89">
        <w:t>n.d</w:t>
      </w:r>
      <w:proofErr w:type="spellEnd"/>
      <w:r w:rsidR="00E80B89" w:rsidRPr="00E80B89">
        <w:t>.).</w:t>
      </w:r>
    </w:p>
    <w:p w14:paraId="4F5F3441" w14:textId="386491BF" w:rsidR="00B86807" w:rsidRPr="00B86807" w:rsidRDefault="00B86807" w:rsidP="00194CDE">
      <w:pPr>
        <w:pStyle w:val="ListParagraph"/>
        <w:spacing w:after="100"/>
        <w:ind w:left="720"/>
        <w:rPr>
          <w:b/>
          <w:bCs/>
        </w:rPr>
      </w:pPr>
      <w:r>
        <w:rPr>
          <w:b/>
          <w:bCs/>
          <w:noProof/>
        </w:rPr>
        <w:lastRenderedPageBreak/>
        <w:drawing>
          <wp:anchor distT="0" distB="0" distL="114300" distR="114300" simplePos="0" relativeHeight="251658240" behindDoc="0" locked="0" layoutInCell="1" allowOverlap="1" wp14:anchorId="4E1E89DA" wp14:editId="3E428F2C">
            <wp:simplePos x="0" y="0"/>
            <wp:positionH relativeFrom="column">
              <wp:posOffset>558800</wp:posOffset>
            </wp:positionH>
            <wp:positionV relativeFrom="paragraph">
              <wp:posOffset>302260</wp:posOffset>
            </wp:positionV>
            <wp:extent cx="3931920" cy="2333625"/>
            <wp:effectExtent l="0" t="0" r="5080" b="3175"/>
            <wp:wrapTopAndBottom/>
            <wp:docPr id="221329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329303" name="Picture 22132930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31920" cy="2333625"/>
                    </a:xfrm>
                    <a:prstGeom prst="rect">
                      <a:avLst/>
                    </a:prstGeom>
                  </pic:spPr>
                </pic:pic>
              </a:graphicData>
            </a:graphic>
            <wp14:sizeRelH relativeFrom="margin">
              <wp14:pctWidth>0</wp14:pctWidth>
            </wp14:sizeRelH>
            <wp14:sizeRelV relativeFrom="margin">
              <wp14:pctHeight>0</wp14:pctHeight>
            </wp14:sizeRelV>
          </wp:anchor>
        </w:drawing>
      </w:r>
    </w:p>
    <w:p w14:paraId="379B37E1" w14:textId="600EBAEB" w:rsidR="00B86807" w:rsidRDefault="00B86807" w:rsidP="00CB26EA">
      <w:pPr>
        <w:pStyle w:val="ListParagraph"/>
        <w:spacing w:after="100"/>
        <w:ind w:left="720"/>
        <w:rPr>
          <w:b/>
          <w:bCs/>
        </w:rPr>
      </w:pPr>
    </w:p>
    <w:p w14:paraId="2A2A4830" w14:textId="4C4F9114" w:rsidR="00B86807" w:rsidRPr="00FF2C83" w:rsidRDefault="00B86807" w:rsidP="00CB26EA">
      <w:pPr>
        <w:pStyle w:val="ListParagraph"/>
        <w:spacing w:after="100"/>
        <w:ind w:left="720"/>
        <w:rPr>
          <w:b/>
          <w:bCs/>
        </w:rPr>
      </w:pPr>
    </w:p>
    <w:p w14:paraId="017A71AE" w14:textId="77777777" w:rsidR="008A48DA" w:rsidRDefault="008B3976">
      <w:pPr>
        <w:pStyle w:val="ListParagraph"/>
        <w:numPr>
          <w:ilvl w:val="0"/>
          <w:numId w:val="2"/>
        </w:numPr>
        <w:spacing w:after="100"/>
      </w:pPr>
      <w:r>
        <w:t>Introduce water recycling systems in the manufacturing plant (AI-assisted idea — Claude, 2026)</w:t>
      </w:r>
    </w:p>
    <w:p w14:paraId="5167CED1" w14:textId="77777777" w:rsidR="008A48DA" w:rsidRDefault="008B3976">
      <w:pPr>
        <w:pStyle w:val="ListParagraph"/>
        <w:numPr>
          <w:ilvl w:val="0"/>
          <w:numId w:val="2"/>
        </w:numPr>
        <w:spacing w:after="100"/>
      </w:pPr>
      <w:r>
        <w:t>Develop an in-car eco-driving coach feature to reduce fuel consumption during use (AI-assisted — Claude, 2026)</w:t>
      </w:r>
    </w:p>
    <w:p w14:paraId="16761804" w14:textId="77777777" w:rsidR="008A48DA" w:rsidRDefault="008B3976">
      <w:pPr>
        <w:pStyle w:val="ListParagraph"/>
        <w:numPr>
          <w:ilvl w:val="0"/>
          <w:numId w:val="2"/>
        </w:numPr>
        <w:spacing w:after="100"/>
      </w:pPr>
      <w:r>
        <w:t>Explore bio-based plastics for interior parts to replace fossil-fuel-derived materials (AI-assisted — Claude, 2026)</w:t>
      </w:r>
    </w:p>
    <w:p w14:paraId="4B840DFF" w14:textId="77777777" w:rsidR="008A48DA" w:rsidRDefault="008B3976">
      <w:pPr>
        <w:pStyle w:val="ListParagraph"/>
        <w:numPr>
          <w:ilvl w:val="0"/>
          <w:numId w:val="2"/>
        </w:numPr>
        <w:spacing w:after="100"/>
      </w:pPr>
      <w:r>
        <w:t>Create a supplier diversity policy prioritising fair-wage and safe-work suppliers (AI-assisted — Claude, 2026)</w:t>
      </w:r>
    </w:p>
    <w:p w14:paraId="2419C07D" w14:textId="77777777" w:rsidR="008A48DA" w:rsidRDefault="008B3976">
      <w:pPr>
        <w:pStyle w:val="ListParagraph"/>
        <w:numPr>
          <w:ilvl w:val="0"/>
          <w:numId w:val="2"/>
        </w:numPr>
        <w:spacing w:after="100"/>
      </w:pPr>
      <w:r>
        <w:t>Implement predictive maintenance AI in the plant to reduce energy waste (AI-assisted — Claude, 2026)</w:t>
      </w:r>
    </w:p>
    <w:p w14:paraId="0AFA2E84" w14:textId="77777777" w:rsidR="008A48DA" w:rsidRDefault="008B3976">
      <w:pPr>
        <w:pStyle w:val="ListParagraph"/>
        <w:numPr>
          <w:ilvl w:val="0"/>
          <w:numId w:val="2"/>
        </w:numPr>
        <w:spacing w:after="100"/>
      </w:pPr>
      <w:r>
        <w:t>Offer a vehicle subscription model to reduce total number of cars produced (AI-assisted — Claude, 2026)</w:t>
      </w:r>
    </w:p>
    <w:p w14:paraId="3AD72CC9" w14:textId="77777777" w:rsidR="008A48DA" w:rsidRDefault="008B3976">
      <w:pPr>
        <w:pStyle w:val="ListParagraph"/>
        <w:numPr>
          <w:ilvl w:val="0"/>
          <w:numId w:val="2"/>
        </w:numPr>
        <w:spacing w:after="100"/>
      </w:pPr>
      <w:r>
        <w:t>Introduce a co-ownership/car-sharing platform linked to Firm F's EV fleet (AI-assisted — Claude, 2026)</w:t>
      </w:r>
    </w:p>
    <w:p w14:paraId="6BDDE2A6" w14:textId="77777777" w:rsidR="008A48DA" w:rsidRDefault="008B3976">
      <w:pPr>
        <w:pStyle w:val="ListParagraph"/>
        <w:numPr>
          <w:ilvl w:val="0"/>
          <w:numId w:val="2"/>
        </w:numPr>
        <w:spacing w:after="100"/>
      </w:pPr>
      <w:r>
        <w:t>Certify the manufacturing facility under ISO 14001 Environmental Management Standard (AI-assisted — Claude, 2026)</w:t>
      </w:r>
    </w:p>
    <w:p w14:paraId="3A4CED05" w14:textId="77777777" w:rsidR="008A48DA" w:rsidRDefault="008B3976">
      <w:pPr>
        <w:pStyle w:val="ListParagraph"/>
        <w:numPr>
          <w:ilvl w:val="0"/>
          <w:numId w:val="2"/>
        </w:numPr>
        <w:spacing w:after="100"/>
      </w:pPr>
      <w:r>
        <w:t>Establish a Green Innovation Fund allocating 2% of net income to clean R&amp;D (AI-assisted — Claude, 2026)</w:t>
      </w:r>
    </w:p>
    <w:p w14:paraId="342DB641" w14:textId="77777777" w:rsidR="008A48DA" w:rsidRDefault="008B3976">
      <w:pPr>
        <w:pStyle w:val="ListParagraph"/>
        <w:numPr>
          <w:ilvl w:val="0"/>
          <w:numId w:val="2"/>
        </w:numPr>
        <w:spacing w:after="100"/>
      </w:pPr>
      <w:r>
        <w:t>Partner with NGOs on road safety campaigns to reduce crash fatalities linked to SDG 3 (AI-assisted — Claude, 2026)</w:t>
      </w:r>
    </w:p>
    <w:p w14:paraId="58B5A27F" w14:textId="77777777" w:rsidR="008A48DA" w:rsidRDefault="008A48DA">
      <w:pPr>
        <w:spacing w:after="80"/>
      </w:pPr>
    </w:p>
    <w:p w14:paraId="21F1D956" w14:textId="77777777" w:rsidR="00FD6840" w:rsidRDefault="00FD6840">
      <w:pPr>
        <w:pStyle w:val="Heading1"/>
      </w:pPr>
    </w:p>
    <w:p w14:paraId="5C2933FF" w14:textId="77777777" w:rsidR="00FD6840" w:rsidRDefault="00FD6840">
      <w:pPr>
        <w:pStyle w:val="Heading1"/>
      </w:pPr>
    </w:p>
    <w:p w14:paraId="48133350" w14:textId="77777777" w:rsidR="00D8566E" w:rsidRDefault="00D8566E">
      <w:pPr>
        <w:pStyle w:val="Heading1"/>
      </w:pPr>
    </w:p>
    <w:p w14:paraId="4B27B588" w14:textId="32783197" w:rsidR="008A48DA" w:rsidRDefault="008B3976">
      <w:pPr>
        <w:pStyle w:val="Heading1"/>
      </w:pPr>
      <w:bookmarkStart w:id="8" w:name="_Toc232098050"/>
      <w:r>
        <w:lastRenderedPageBreak/>
        <w:t>5. Prioritisation of Ideas</w:t>
      </w:r>
      <w:bookmarkEnd w:id="8"/>
    </w:p>
    <w:p w14:paraId="4D6C029D" w14:textId="77777777" w:rsidR="008A48DA" w:rsidRDefault="008B3976">
      <w:pPr>
        <w:pStyle w:val="Heading2"/>
      </w:pPr>
      <w:bookmarkStart w:id="9" w:name="_Toc232098051"/>
      <w:r>
        <w:t>5.1 Elimination of Trivial or Tolerable Impacts</w:t>
      </w:r>
      <w:bookmarkEnd w:id="9"/>
    </w:p>
    <w:p w14:paraId="43AD2391" w14:textId="77777777" w:rsidR="008A48DA" w:rsidRDefault="008B3976">
      <w:pPr>
        <w:spacing w:after="160"/>
        <w:jc w:val="both"/>
      </w:pPr>
      <w:r>
        <w:t>After reviewing all 20 ideas against the risk matrix, the following were eliminated as addressing impacts that are either trivial in scale or tolerable given Firm F's current position:</w:t>
      </w:r>
    </w:p>
    <w:p w14:paraId="643A460B" w14:textId="77777777" w:rsidR="008A48DA" w:rsidRDefault="008B3976">
      <w:pPr>
        <w:pStyle w:val="ListParagraph"/>
        <w:numPr>
          <w:ilvl w:val="0"/>
          <w:numId w:val="3"/>
        </w:numPr>
        <w:spacing w:after="100"/>
      </w:pPr>
      <w:r>
        <w:t>In-car eco-driving coach: addresses use-phase behaviour but relies entirely on end-user compliance; impact is marginal compared to structural product changes.</w:t>
      </w:r>
    </w:p>
    <w:p w14:paraId="2A9E0211" w14:textId="77777777" w:rsidR="008A48DA" w:rsidRDefault="008B3976">
      <w:pPr>
        <w:pStyle w:val="ListParagraph"/>
        <w:numPr>
          <w:ilvl w:val="0"/>
          <w:numId w:val="3"/>
        </w:numPr>
        <w:spacing w:after="100"/>
      </w:pPr>
      <w:r>
        <w:t>Vehicle subscription model: commercially complex at this stage and only indirectly reduces production volume; impact on SDGs is uncertain.</w:t>
      </w:r>
    </w:p>
    <w:p w14:paraId="0AC21980" w14:textId="77777777" w:rsidR="008A48DA" w:rsidRDefault="008B3976">
      <w:pPr>
        <w:pStyle w:val="ListParagraph"/>
        <w:numPr>
          <w:ilvl w:val="0"/>
          <w:numId w:val="3"/>
        </w:numPr>
        <w:spacing w:after="100"/>
      </w:pPr>
      <w:r>
        <w:t>Road safety NGO partnership: valuable but does not address core production-level sustainability impacts.</w:t>
      </w:r>
    </w:p>
    <w:p w14:paraId="5358F660" w14:textId="77777777" w:rsidR="008A48DA" w:rsidRDefault="008A48DA">
      <w:pPr>
        <w:spacing w:after="80"/>
      </w:pPr>
    </w:p>
    <w:p w14:paraId="16F0A788" w14:textId="77777777" w:rsidR="008A48DA" w:rsidRDefault="008B3976">
      <w:pPr>
        <w:pStyle w:val="Heading2"/>
      </w:pPr>
      <w:bookmarkStart w:id="10" w:name="_Toc232098052"/>
      <w:r>
        <w:t>5.2 Prioritisation Method</w:t>
      </w:r>
      <w:bookmarkEnd w:id="10"/>
    </w:p>
    <w:p w14:paraId="2957BA0A" w14:textId="77777777" w:rsidR="008A48DA" w:rsidRDefault="008B3976">
      <w:pPr>
        <w:spacing w:after="160"/>
        <w:jc w:val="both"/>
      </w:pPr>
      <w:r>
        <w:t>The remaining 17 ideas were prioritised using a weighted scoring method based on three criteria: (1) SDG Impact Score (1–5), reflecting how directly the idea addresses a Critical or High-risk SDG impact; (2) Feasibility (1–5), assessing how practical the idea is given Firm F's current financial position ($17.6M cash, $20.9M equity); and (3) Speed of Impact (1–5), measuring how quickly results can be achieved. The top 10 priorities are listed below.</w:t>
      </w:r>
    </w:p>
    <w:p w14:paraId="2588DCDD" w14:textId="77777777" w:rsidR="008A48DA" w:rsidRDefault="008A48D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1500"/>
        <w:gridCol w:w="1500"/>
        <w:gridCol w:w="1500"/>
        <w:gridCol w:w="860"/>
      </w:tblGrid>
      <w:tr w:rsidR="008A48DA" w14:paraId="04D962D6" w14:textId="77777777">
        <w:trPr>
          <w:tblHeader/>
        </w:trPr>
        <w:tc>
          <w:tcPr>
            <w:tcW w:w="40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00" w:type="dxa"/>
              <w:bottom w:w="80" w:type="dxa"/>
              <w:right w:w="100" w:type="dxa"/>
            </w:tcMar>
          </w:tcPr>
          <w:p w14:paraId="0E8DCBDA" w14:textId="77777777" w:rsidR="008A48DA" w:rsidRDefault="008B3976">
            <w:r>
              <w:rPr>
                <w:b/>
                <w:bCs/>
                <w:color w:val="FFFFFF"/>
                <w:sz w:val="18"/>
                <w:szCs w:val="18"/>
              </w:rPr>
              <w:t>Idea</w:t>
            </w:r>
          </w:p>
        </w:tc>
        <w:tc>
          <w:tcPr>
            <w:tcW w:w="15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00" w:type="dxa"/>
              <w:bottom w:w="80" w:type="dxa"/>
              <w:right w:w="100" w:type="dxa"/>
            </w:tcMar>
          </w:tcPr>
          <w:p w14:paraId="70D21B32" w14:textId="77777777" w:rsidR="008A48DA" w:rsidRDefault="008B3976">
            <w:r>
              <w:rPr>
                <w:b/>
                <w:bCs/>
                <w:color w:val="FFFFFF"/>
                <w:sz w:val="18"/>
                <w:szCs w:val="18"/>
              </w:rPr>
              <w:t>SDG Impact (1–5)</w:t>
            </w:r>
          </w:p>
        </w:tc>
        <w:tc>
          <w:tcPr>
            <w:tcW w:w="15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00" w:type="dxa"/>
              <w:bottom w:w="80" w:type="dxa"/>
              <w:right w:w="100" w:type="dxa"/>
            </w:tcMar>
          </w:tcPr>
          <w:p w14:paraId="476A456D" w14:textId="77777777" w:rsidR="008A48DA" w:rsidRDefault="008B3976">
            <w:r>
              <w:rPr>
                <w:b/>
                <w:bCs/>
                <w:color w:val="FFFFFF"/>
                <w:sz w:val="18"/>
                <w:szCs w:val="18"/>
              </w:rPr>
              <w:t>Feasibility (1–5)</w:t>
            </w:r>
          </w:p>
        </w:tc>
        <w:tc>
          <w:tcPr>
            <w:tcW w:w="15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00" w:type="dxa"/>
              <w:bottom w:w="80" w:type="dxa"/>
              <w:right w:w="100" w:type="dxa"/>
            </w:tcMar>
          </w:tcPr>
          <w:p w14:paraId="52F62E9A" w14:textId="77777777" w:rsidR="008A48DA" w:rsidRDefault="008B3976">
            <w:r>
              <w:rPr>
                <w:b/>
                <w:bCs/>
                <w:color w:val="FFFFFF"/>
                <w:sz w:val="18"/>
                <w:szCs w:val="18"/>
              </w:rPr>
              <w:t>Speed (1–5)</w:t>
            </w:r>
          </w:p>
        </w:tc>
        <w:tc>
          <w:tcPr>
            <w:tcW w:w="86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00" w:type="dxa"/>
              <w:bottom w:w="80" w:type="dxa"/>
              <w:right w:w="100" w:type="dxa"/>
            </w:tcMar>
          </w:tcPr>
          <w:p w14:paraId="4966B923" w14:textId="77777777" w:rsidR="008A48DA" w:rsidRDefault="008B3976">
            <w:r>
              <w:rPr>
                <w:b/>
                <w:bCs/>
                <w:color w:val="FFFFFF"/>
                <w:sz w:val="18"/>
                <w:szCs w:val="18"/>
              </w:rPr>
              <w:t>Total</w:t>
            </w:r>
          </w:p>
        </w:tc>
      </w:tr>
      <w:tr w:rsidR="008A48DA" w14:paraId="31DD06DA" w14:textId="77777777">
        <w:tc>
          <w:tcPr>
            <w:tcW w:w="40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22B16D88" w14:textId="77777777" w:rsidR="008A48DA" w:rsidRDefault="008B3976">
            <w:r>
              <w:rPr>
                <w:sz w:val="18"/>
                <w:szCs w:val="18"/>
              </w:rPr>
              <w:t>Switch to renewable plant energy</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0BC3C051" w14:textId="77777777" w:rsidR="008A48DA" w:rsidRDefault="008B3976">
            <w:r>
              <w:rPr>
                <w:sz w:val="18"/>
                <w:szCs w:val="18"/>
              </w:rPr>
              <w:t>5</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6FB5A8F5" w14:textId="77777777" w:rsidR="008A48DA" w:rsidRDefault="008B3976">
            <w:r>
              <w:rPr>
                <w:sz w:val="18"/>
                <w:szCs w:val="18"/>
              </w:rPr>
              <w:t>4</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271FAE6D" w14:textId="77777777" w:rsidR="008A48DA" w:rsidRDefault="008B3976">
            <w:r>
              <w:rPr>
                <w:sz w:val="18"/>
                <w:szCs w:val="18"/>
              </w:rPr>
              <w:t>3</w:t>
            </w:r>
          </w:p>
        </w:tc>
        <w:tc>
          <w:tcPr>
            <w:tcW w:w="86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057342F9" w14:textId="77777777" w:rsidR="008A48DA" w:rsidRDefault="008B3976">
            <w:r>
              <w:rPr>
                <w:b/>
                <w:bCs/>
                <w:sz w:val="18"/>
                <w:szCs w:val="18"/>
              </w:rPr>
              <w:t>12</w:t>
            </w:r>
          </w:p>
        </w:tc>
      </w:tr>
      <w:tr w:rsidR="008A48DA" w14:paraId="308A570B" w14:textId="77777777">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75C9C1C" w14:textId="77777777" w:rsidR="008A48DA" w:rsidRDefault="008B3976">
            <w:r>
              <w:rPr>
                <w:sz w:val="18"/>
                <w:szCs w:val="18"/>
              </w:rPr>
              <w:t>Launch electric Fab4WD variant</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6DD9985" w14:textId="77777777" w:rsidR="008A48DA" w:rsidRDefault="008B3976">
            <w:r>
              <w:rPr>
                <w:sz w:val="18"/>
                <w:szCs w:val="18"/>
              </w:rPr>
              <w:t>5</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E573165" w14:textId="77777777" w:rsidR="008A48DA" w:rsidRDefault="008B3976">
            <w:r>
              <w:rPr>
                <w:sz w:val="18"/>
                <w:szCs w:val="18"/>
              </w:rPr>
              <w:t>4</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20EE4BA" w14:textId="77777777" w:rsidR="008A48DA" w:rsidRDefault="008B3976">
            <w:r>
              <w:rPr>
                <w:sz w:val="18"/>
                <w:szCs w:val="18"/>
              </w:rPr>
              <w:t>2</w:t>
            </w:r>
          </w:p>
        </w:tc>
        <w:tc>
          <w:tcPr>
            <w:tcW w:w="8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069A922" w14:textId="77777777" w:rsidR="008A48DA" w:rsidRDefault="008B3976">
            <w:r>
              <w:rPr>
                <w:b/>
                <w:bCs/>
                <w:sz w:val="18"/>
                <w:szCs w:val="18"/>
              </w:rPr>
              <w:t>11</w:t>
            </w:r>
          </w:p>
        </w:tc>
      </w:tr>
      <w:tr w:rsidR="008A48DA" w14:paraId="327BBBAB" w14:textId="77777777">
        <w:tc>
          <w:tcPr>
            <w:tcW w:w="40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463A04BB" w14:textId="77777777" w:rsidR="008A48DA" w:rsidRDefault="008B3976">
            <w:r>
              <w:rPr>
                <w:sz w:val="18"/>
                <w:szCs w:val="18"/>
              </w:rPr>
              <w:t>Battery take-back &amp; recycling</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3AD45B91" w14:textId="77777777" w:rsidR="008A48DA" w:rsidRDefault="008B3976">
            <w:r>
              <w:rPr>
                <w:sz w:val="18"/>
                <w:szCs w:val="18"/>
              </w:rPr>
              <w:t>5</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7FC99726" w14:textId="77777777" w:rsidR="008A48DA" w:rsidRDefault="008B3976">
            <w:r>
              <w:rPr>
                <w:sz w:val="18"/>
                <w:szCs w:val="18"/>
              </w:rPr>
              <w:t>4</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73B885F6" w14:textId="77777777" w:rsidR="008A48DA" w:rsidRDefault="008B3976">
            <w:r>
              <w:rPr>
                <w:sz w:val="18"/>
                <w:szCs w:val="18"/>
              </w:rPr>
              <w:t>3</w:t>
            </w:r>
          </w:p>
        </w:tc>
        <w:tc>
          <w:tcPr>
            <w:tcW w:w="86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08F823A2" w14:textId="77777777" w:rsidR="008A48DA" w:rsidRDefault="008B3976">
            <w:r>
              <w:rPr>
                <w:b/>
                <w:bCs/>
                <w:sz w:val="18"/>
                <w:szCs w:val="18"/>
              </w:rPr>
              <w:t>12</w:t>
            </w:r>
          </w:p>
        </w:tc>
      </w:tr>
      <w:tr w:rsidR="008A48DA" w14:paraId="03CF2EC5" w14:textId="77777777">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FDB6357" w14:textId="77777777" w:rsidR="008A48DA" w:rsidRDefault="008B3976">
            <w:r>
              <w:rPr>
                <w:sz w:val="18"/>
                <w:szCs w:val="18"/>
              </w:rPr>
              <w:t>Sustainable supplier sourcing</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E7EE0BD" w14:textId="77777777" w:rsidR="008A48DA" w:rsidRDefault="008B3976">
            <w:r>
              <w:rPr>
                <w:sz w:val="18"/>
                <w:szCs w:val="18"/>
              </w:rPr>
              <w:t>4</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4808E39" w14:textId="77777777" w:rsidR="008A48DA" w:rsidRDefault="008B3976">
            <w:r>
              <w:rPr>
                <w:sz w:val="18"/>
                <w:szCs w:val="18"/>
              </w:rPr>
              <w:t>4</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2DCF932" w14:textId="77777777" w:rsidR="008A48DA" w:rsidRDefault="008B3976">
            <w:r>
              <w:rPr>
                <w:sz w:val="18"/>
                <w:szCs w:val="18"/>
              </w:rPr>
              <w:t>4</w:t>
            </w:r>
          </w:p>
        </w:tc>
        <w:tc>
          <w:tcPr>
            <w:tcW w:w="8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250E0DC" w14:textId="77777777" w:rsidR="008A48DA" w:rsidRDefault="008B3976">
            <w:r>
              <w:rPr>
                <w:b/>
                <w:bCs/>
                <w:sz w:val="18"/>
                <w:szCs w:val="18"/>
              </w:rPr>
              <w:t>12</w:t>
            </w:r>
          </w:p>
        </w:tc>
      </w:tr>
      <w:tr w:rsidR="008A48DA" w14:paraId="66912E0E" w14:textId="77777777">
        <w:tc>
          <w:tcPr>
            <w:tcW w:w="40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3E41DCAF" w14:textId="77777777" w:rsidR="008A48DA" w:rsidRDefault="008B3976">
            <w:r>
              <w:rPr>
                <w:sz w:val="18"/>
                <w:szCs w:val="18"/>
              </w:rPr>
              <w:t>Publish annual ESG report</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7FBC0A59" w14:textId="77777777" w:rsidR="008A48DA" w:rsidRDefault="008B3976">
            <w:r>
              <w:rPr>
                <w:sz w:val="18"/>
                <w:szCs w:val="18"/>
              </w:rPr>
              <w:t>4</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6BE6044C" w14:textId="77777777" w:rsidR="008A48DA" w:rsidRDefault="008B3976">
            <w:r>
              <w:rPr>
                <w:sz w:val="18"/>
                <w:szCs w:val="18"/>
              </w:rPr>
              <w:t>5</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723FBD22" w14:textId="77777777" w:rsidR="008A48DA" w:rsidRDefault="008B3976">
            <w:r>
              <w:rPr>
                <w:sz w:val="18"/>
                <w:szCs w:val="18"/>
              </w:rPr>
              <w:t>5</w:t>
            </w:r>
          </w:p>
        </w:tc>
        <w:tc>
          <w:tcPr>
            <w:tcW w:w="86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1247C65A" w14:textId="77777777" w:rsidR="008A48DA" w:rsidRDefault="008B3976">
            <w:r>
              <w:rPr>
                <w:b/>
                <w:bCs/>
                <w:sz w:val="18"/>
                <w:szCs w:val="18"/>
              </w:rPr>
              <w:t>14</w:t>
            </w:r>
          </w:p>
        </w:tc>
      </w:tr>
      <w:tr w:rsidR="008A48DA" w14:paraId="428DDB4A" w14:textId="77777777">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AA0B43D" w14:textId="77777777" w:rsidR="008A48DA" w:rsidRDefault="008B3976">
            <w:r>
              <w:rPr>
                <w:sz w:val="18"/>
                <w:szCs w:val="18"/>
              </w:rPr>
              <w:t>City EV fleet partnership</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22F6A3E" w14:textId="77777777" w:rsidR="008A48DA" w:rsidRDefault="008B3976">
            <w:r>
              <w:rPr>
                <w:sz w:val="18"/>
                <w:szCs w:val="18"/>
              </w:rPr>
              <w:t>4</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00B9D72" w14:textId="77777777" w:rsidR="008A48DA" w:rsidRDefault="008B3976">
            <w:r>
              <w:rPr>
                <w:sz w:val="18"/>
                <w:szCs w:val="18"/>
              </w:rPr>
              <w:t>3</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8A3FED9" w14:textId="77777777" w:rsidR="008A48DA" w:rsidRDefault="008B3976">
            <w:r>
              <w:rPr>
                <w:sz w:val="18"/>
                <w:szCs w:val="18"/>
              </w:rPr>
              <w:t>3</w:t>
            </w:r>
          </w:p>
        </w:tc>
        <w:tc>
          <w:tcPr>
            <w:tcW w:w="8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6749BE9" w14:textId="77777777" w:rsidR="008A48DA" w:rsidRDefault="008B3976">
            <w:r>
              <w:rPr>
                <w:b/>
                <w:bCs/>
                <w:sz w:val="18"/>
                <w:szCs w:val="18"/>
              </w:rPr>
              <w:t>10</w:t>
            </w:r>
          </w:p>
        </w:tc>
      </w:tr>
      <w:tr w:rsidR="008A48DA" w14:paraId="7428BB83" w14:textId="77777777">
        <w:tc>
          <w:tcPr>
            <w:tcW w:w="40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57226EB6" w14:textId="77777777" w:rsidR="008A48DA" w:rsidRDefault="008B3976">
            <w:r>
              <w:rPr>
                <w:sz w:val="18"/>
                <w:szCs w:val="18"/>
              </w:rPr>
              <w:t>ISO 14001 Certification</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5EFE2B3C" w14:textId="77777777" w:rsidR="008A48DA" w:rsidRDefault="008B3976">
            <w:r>
              <w:rPr>
                <w:sz w:val="18"/>
                <w:szCs w:val="18"/>
              </w:rPr>
              <w:t>4</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57CD84F2" w14:textId="77777777" w:rsidR="008A48DA" w:rsidRDefault="008B3976">
            <w:r>
              <w:rPr>
                <w:sz w:val="18"/>
                <w:szCs w:val="18"/>
              </w:rPr>
              <w:t>4</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02722431" w14:textId="77777777" w:rsidR="008A48DA" w:rsidRDefault="008B3976">
            <w:r>
              <w:rPr>
                <w:sz w:val="18"/>
                <w:szCs w:val="18"/>
              </w:rPr>
              <w:t>3</w:t>
            </w:r>
          </w:p>
        </w:tc>
        <w:tc>
          <w:tcPr>
            <w:tcW w:w="86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6FE30AF8" w14:textId="77777777" w:rsidR="008A48DA" w:rsidRDefault="008B3976">
            <w:r>
              <w:rPr>
                <w:b/>
                <w:bCs/>
                <w:sz w:val="18"/>
                <w:szCs w:val="18"/>
              </w:rPr>
              <w:t>11</w:t>
            </w:r>
          </w:p>
        </w:tc>
      </w:tr>
      <w:tr w:rsidR="008A48DA" w14:paraId="0463ACB8" w14:textId="77777777">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9AE8541" w14:textId="77777777" w:rsidR="008A48DA" w:rsidRDefault="008B3976">
            <w:r>
              <w:rPr>
                <w:sz w:val="18"/>
                <w:szCs w:val="18"/>
              </w:rPr>
              <w:t>Green Innovation Fund (2% NI)</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73AE169" w14:textId="77777777" w:rsidR="008A48DA" w:rsidRDefault="008B3976">
            <w:r>
              <w:rPr>
                <w:sz w:val="18"/>
                <w:szCs w:val="18"/>
              </w:rPr>
              <w:t>5</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8E647F8" w14:textId="77777777" w:rsidR="008A48DA" w:rsidRDefault="008B3976">
            <w:r>
              <w:rPr>
                <w:sz w:val="18"/>
                <w:szCs w:val="18"/>
              </w:rPr>
              <w:t>5</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563D23B" w14:textId="77777777" w:rsidR="008A48DA" w:rsidRDefault="008B3976">
            <w:r>
              <w:rPr>
                <w:sz w:val="18"/>
                <w:szCs w:val="18"/>
              </w:rPr>
              <w:t>4</w:t>
            </w:r>
          </w:p>
        </w:tc>
        <w:tc>
          <w:tcPr>
            <w:tcW w:w="8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184F2CF" w14:textId="77777777" w:rsidR="008A48DA" w:rsidRDefault="008B3976">
            <w:r>
              <w:rPr>
                <w:b/>
                <w:bCs/>
                <w:sz w:val="18"/>
                <w:szCs w:val="18"/>
              </w:rPr>
              <w:t>14</w:t>
            </w:r>
          </w:p>
        </w:tc>
      </w:tr>
      <w:tr w:rsidR="008A48DA" w14:paraId="5DC4600A" w14:textId="77777777">
        <w:tc>
          <w:tcPr>
            <w:tcW w:w="40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7EE5C730" w14:textId="77777777" w:rsidR="008A48DA" w:rsidRDefault="008B3976">
            <w:r>
              <w:rPr>
                <w:sz w:val="18"/>
                <w:szCs w:val="18"/>
              </w:rPr>
              <w:t>Water recycling in plant</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50176D0E" w14:textId="77777777" w:rsidR="008A48DA" w:rsidRDefault="008B3976">
            <w:r>
              <w:rPr>
                <w:sz w:val="18"/>
                <w:szCs w:val="18"/>
              </w:rPr>
              <w:t>3</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2DBF8C3A" w14:textId="77777777" w:rsidR="008A48DA" w:rsidRDefault="008B3976">
            <w:r>
              <w:rPr>
                <w:sz w:val="18"/>
                <w:szCs w:val="18"/>
              </w:rPr>
              <w:t>4</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28735441" w14:textId="77777777" w:rsidR="008A48DA" w:rsidRDefault="008B3976">
            <w:r>
              <w:rPr>
                <w:sz w:val="18"/>
                <w:szCs w:val="18"/>
              </w:rPr>
              <w:t>4</w:t>
            </w:r>
          </w:p>
        </w:tc>
        <w:tc>
          <w:tcPr>
            <w:tcW w:w="86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6B740A84" w14:textId="77777777" w:rsidR="008A48DA" w:rsidRDefault="008B3976">
            <w:r>
              <w:rPr>
                <w:b/>
                <w:bCs/>
                <w:sz w:val="18"/>
                <w:szCs w:val="18"/>
              </w:rPr>
              <w:t>11</w:t>
            </w:r>
          </w:p>
        </w:tc>
      </w:tr>
      <w:tr w:rsidR="008A48DA" w14:paraId="0918914E" w14:textId="77777777">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1A543A9" w14:textId="77777777" w:rsidR="008A48DA" w:rsidRDefault="008B3976">
            <w:r>
              <w:rPr>
                <w:sz w:val="18"/>
                <w:szCs w:val="18"/>
              </w:rPr>
              <w:t>Carbon offset programme</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C21970A" w14:textId="77777777" w:rsidR="008A48DA" w:rsidRDefault="008B3976">
            <w:r>
              <w:rPr>
                <w:sz w:val="18"/>
                <w:szCs w:val="18"/>
              </w:rPr>
              <w:t>4</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FAC4302" w14:textId="77777777" w:rsidR="008A48DA" w:rsidRDefault="008B3976">
            <w:r>
              <w:rPr>
                <w:sz w:val="18"/>
                <w:szCs w:val="18"/>
              </w:rPr>
              <w:t>4</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E937E8A" w14:textId="77777777" w:rsidR="008A48DA" w:rsidRDefault="008B3976">
            <w:r>
              <w:rPr>
                <w:sz w:val="18"/>
                <w:szCs w:val="18"/>
              </w:rPr>
              <w:t>4</w:t>
            </w:r>
          </w:p>
        </w:tc>
        <w:tc>
          <w:tcPr>
            <w:tcW w:w="8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B6A53AB" w14:textId="77777777" w:rsidR="008A48DA" w:rsidRDefault="008B3976">
            <w:r>
              <w:rPr>
                <w:b/>
                <w:bCs/>
                <w:sz w:val="18"/>
                <w:szCs w:val="18"/>
              </w:rPr>
              <w:t>12</w:t>
            </w:r>
          </w:p>
        </w:tc>
      </w:tr>
    </w:tbl>
    <w:p w14:paraId="0E8B0A12" w14:textId="77777777" w:rsidR="008A48DA" w:rsidRDefault="008A48DA">
      <w:pPr>
        <w:spacing w:after="80"/>
      </w:pPr>
    </w:p>
    <w:p w14:paraId="3B47D219" w14:textId="77777777" w:rsidR="00FD6840" w:rsidRDefault="00FD6840">
      <w:pPr>
        <w:pStyle w:val="Heading1"/>
        <w:rPr>
          <w:lang w:val="en-GB"/>
        </w:rPr>
      </w:pPr>
    </w:p>
    <w:p w14:paraId="26C502F1" w14:textId="77777777" w:rsidR="00FD6840" w:rsidRDefault="00FD6840">
      <w:pPr>
        <w:pStyle w:val="Heading1"/>
        <w:rPr>
          <w:lang w:val="en-GB"/>
        </w:rPr>
      </w:pPr>
    </w:p>
    <w:p w14:paraId="1F84B45A" w14:textId="77777777" w:rsidR="00FD6840" w:rsidRDefault="00FD6840">
      <w:pPr>
        <w:pStyle w:val="Heading1"/>
        <w:rPr>
          <w:lang w:val="en-GB"/>
        </w:rPr>
      </w:pPr>
    </w:p>
    <w:p w14:paraId="1D5D8072" w14:textId="77777777" w:rsidR="00FD6840" w:rsidRDefault="00FD6840">
      <w:pPr>
        <w:pStyle w:val="Heading1"/>
        <w:rPr>
          <w:lang w:val="en-GB"/>
        </w:rPr>
      </w:pPr>
    </w:p>
    <w:p w14:paraId="070E18E1" w14:textId="4754DADF" w:rsidR="008A48DA" w:rsidRDefault="008B3976">
      <w:pPr>
        <w:pStyle w:val="Heading1"/>
      </w:pPr>
      <w:bookmarkStart w:id="11" w:name="_Toc232098053"/>
      <w:r>
        <w:lastRenderedPageBreak/>
        <w:t>6. Five-Year Strategic Action Plan (2026–2030)</w:t>
      </w:r>
      <w:bookmarkEnd w:id="11"/>
    </w:p>
    <w:p w14:paraId="42DD1607" w14:textId="7BB44BD8" w:rsidR="008A48DA" w:rsidRDefault="008B3976">
      <w:pPr>
        <w:spacing w:after="160"/>
        <w:jc w:val="both"/>
      </w:pPr>
      <w:r>
        <w:t>The strategic action plan below is built on the top-prioritised ideas. It identifies specific objectives, concrete actions, measurable KPIs, and the relevant SDG for each year. All objectives are directly linked to Firm F's mission and vision.</w:t>
      </w:r>
      <w:r w:rsidR="0035596E" w:rsidRPr="00655E1E">
        <w:rPr>
          <w:b/>
          <w:bCs/>
        </w:rPr>
        <w:t xml:space="preserve"> (</w:t>
      </w:r>
      <w:r w:rsidR="00655E1E" w:rsidRPr="00655E1E">
        <w:rPr>
          <w:b/>
          <w:bCs/>
        </w:rPr>
        <w:t>Expand action explanation)</w:t>
      </w:r>
    </w:p>
    <w:p w14:paraId="36A2DD6A" w14:textId="77777777" w:rsidR="008A48DA" w:rsidRDefault="008A48D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32"/>
        <w:gridCol w:w="2015"/>
        <w:gridCol w:w="3135"/>
        <w:gridCol w:w="2239"/>
        <w:gridCol w:w="739"/>
      </w:tblGrid>
      <w:tr w:rsidR="008A48DA" w14:paraId="63AB2773" w14:textId="77777777">
        <w:trPr>
          <w:tblHeader/>
        </w:trPr>
        <w:tc>
          <w:tcPr>
            <w:tcW w:w="11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00" w:type="dxa"/>
              <w:bottom w:w="80" w:type="dxa"/>
              <w:right w:w="100" w:type="dxa"/>
            </w:tcMar>
          </w:tcPr>
          <w:p w14:paraId="2115014E" w14:textId="77777777" w:rsidR="008A48DA" w:rsidRDefault="008B3976">
            <w:r>
              <w:rPr>
                <w:b/>
                <w:bCs/>
                <w:color w:val="FFFFFF"/>
                <w:sz w:val="18"/>
                <w:szCs w:val="18"/>
              </w:rPr>
              <w:t>Year</w:t>
            </w:r>
          </w:p>
        </w:tc>
        <w:tc>
          <w:tcPr>
            <w:tcW w:w="18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00" w:type="dxa"/>
              <w:bottom w:w="80" w:type="dxa"/>
              <w:right w:w="100" w:type="dxa"/>
            </w:tcMar>
          </w:tcPr>
          <w:p w14:paraId="3DDFBFFD" w14:textId="77777777" w:rsidR="008A48DA" w:rsidRDefault="008B3976">
            <w:r>
              <w:rPr>
                <w:b/>
                <w:bCs/>
                <w:color w:val="FFFFFF"/>
                <w:sz w:val="18"/>
                <w:szCs w:val="18"/>
              </w:rPr>
              <w:t>Objective</w:t>
            </w:r>
          </w:p>
        </w:tc>
        <w:tc>
          <w:tcPr>
            <w:tcW w:w="28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00" w:type="dxa"/>
              <w:bottom w:w="80" w:type="dxa"/>
              <w:right w:w="100" w:type="dxa"/>
            </w:tcMar>
          </w:tcPr>
          <w:p w14:paraId="4BD51EA8" w14:textId="77777777" w:rsidR="008A48DA" w:rsidRDefault="008B3976">
            <w:r>
              <w:rPr>
                <w:b/>
                <w:bCs/>
                <w:color w:val="FFFFFF"/>
                <w:sz w:val="18"/>
                <w:szCs w:val="18"/>
              </w:rPr>
              <w:t>Action</w:t>
            </w:r>
          </w:p>
        </w:tc>
        <w:tc>
          <w:tcPr>
            <w:tcW w:w="20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00" w:type="dxa"/>
              <w:bottom w:w="80" w:type="dxa"/>
              <w:right w:w="100" w:type="dxa"/>
            </w:tcMar>
          </w:tcPr>
          <w:p w14:paraId="4A05F364" w14:textId="77777777" w:rsidR="008A48DA" w:rsidRDefault="008B3976">
            <w:r>
              <w:rPr>
                <w:b/>
                <w:bCs/>
                <w:color w:val="FFFFFF"/>
                <w:sz w:val="18"/>
                <w:szCs w:val="18"/>
              </w:rPr>
              <w:t>KPI / Target</w:t>
            </w:r>
          </w:p>
        </w:tc>
        <w:tc>
          <w:tcPr>
            <w:tcW w:w="66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00" w:type="dxa"/>
              <w:bottom w:w="80" w:type="dxa"/>
              <w:right w:w="100" w:type="dxa"/>
            </w:tcMar>
          </w:tcPr>
          <w:p w14:paraId="61570D6E" w14:textId="77777777" w:rsidR="008A48DA" w:rsidRDefault="008B3976">
            <w:r>
              <w:rPr>
                <w:b/>
                <w:bCs/>
                <w:color w:val="FFFFFF"/>
                <w:sz w:val="18"/>
                <w:szCs w:val="18"/>
              </w:rPr>
              <w:t>SDG</w:t>
            </w:r>
          </w:p>
        </w:tc>
      </w:tr>
      <w:tr w:rsidR="008A48DA" w14:paraId="1DB9FD15" w14:textId="77777777">
        <w:tc>
          <w:tcPr>
            <w:tcW w:w="11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38155599" w14:textId="77777777" w:rsidR="008A48DA" w:rsidRDefault="008B3976">
            <w:r>
              <w:rPr>
                <w:sz w:val="17"/>
                <w:szCs w:val="17"/>
              </w:rPr>
              <w:t>Year 1 (2026)</w:t>
            </w:r>
          </w:p>
        </w:tc>
        <w:tc>
          <w:tcPr>
            <w:tcW w:w="18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25819ADC" w14:textId="77777777" w:rsidR="008A48DA" w:rsidRDefault="008B3976">
            <w:r>
              <w:rPr>
                <w:sz w:val="17"/>
                <w:szCs w:val="17"/>
              </w:rPr>
              <w:t>Reduce manufacturing CO2</w:t>
            </w:r>
          </w:p>
        </w:tc>
        <w:tc>
          <w:tcPr>
            <w:tcW w:w="28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781EC050" w14:textId="1F28A3D7" w:rsidR="008A48DA" w:rsidRPr="002234F1" w:rsidRDefault="008B3976">
            <w:pPr>
              <w:rPr>
                <w:lang w:val="en-GB"/>
              </w:rPr>
            </w:pPr>
            <w:r>
              <w:rPr>
                <w:sz w:val="17"/>
                <w:szCs w:val="17"/>
              </w:rPr>
              <w:t>Commission carbon audit; switch 20% plant energy to renewable solar</w:t>
            </w:r>
            <w:r w:rsidR="002234F1">
              <w:rPr>
                <w:sz w:val="17"/>
                <w:szCs w:val="17"/>
                <w:lang w:val="en-GB"/>
              </w:rPr>
              <w:t xml:space="preserve">. </w:t>
            </w:r>
            <w:r w:rsidR="002234F1" w:rsidRPr="002234F1">
              <w:rPr>
                <w:sz w:val="17"/>
                <w:szCs w:val="17"/>
              </w:rPr>
              <w:t>Procuring 20% of plant electricity from solar is a deliberately achievable first step that begins cutting the firm’s largest controllable emissions source while solar contracts and capacity are scaled up.</w:t>
            </w:r>
          </w:p>
        </w:tc>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4EC4A776" w14:textId="77777777" w:rsidR="008A48DA" w:rsidRDefault="008B3976">
            <w:r>
              <w:rPr>
                <w:sz w:val="17"/>
                <w:szCs w:val="17"/>
              </w:rPr>
              <w:t>CO2 emissions down 10%</w:t>
            </w:r>
          </w:p>
        </w:tc>
        <w:tc>
          <w:tcPr>
            <w:tcW w:w="66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69593102" w14:textId="77777777" w:rsidR="008A48DA" w:rsidRDefault="008B3976">
            <w:r>
              <w:rPr>
                <w:sz w:val="17"/>
                <w:szCs w:val="17"/>
              </w:rPr>
              <w:t>SDG 13</w:t>
            </w:r>
          </w:p>
        </w:tc>
      </w:tr>
      <w:tr w:rsidR="008A48DA" w14:paraId="0CF2F175" w14:textId="77777777">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32EE2ED" w14:textId="77777777" w:rsidR="008A48DA" w:rsidRDefault="008B3976">
            <w:r>
              <w:rPr>
                <w:sz w:val="17"/>
                <w:szCs w:val="17"/>
              </w:rPr>
              <w:t>Year 1 (2026)</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8C45ED6" w14:textId="77777777" w:rsidR="008A48DA" w:rsidRDefault="008B3976">
            <w:r>
              <w:rPr>
                <w:sz w:val="17"/>
                <w:szCs w:val="17"/>
              </w:rPr>
              <w:t>Establish ESG governance</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0770F2F" w14:textId="1BE72FE9" w:rsidR="008A48DA" w:rsidRPr="00186C73" w:rsidRDefault="008B3976">
            <w:pPr>
              <w:rPr>
                <w:lang w:val="en-GB"/>
              </w:rPr>
            </w:pPr>
            <w:r>
              <w:rPr>
                <w:sz w:val="17"/>
                <w:szCs w:val="17"/>
              </w:rPr>
              <w:t>Hire Chief Sustainability Officer; set internal carbon price $50/tonne</w:t>
            </w:r>
            <w:r w:rsidR="00186C73">
              <w:rPr>
                <w:sz w:val="17"/>
                <w:szCs w:val="17"/>
                <w:lang w:val="en-GB"/>
              </w:rPr>
              <w:t xml:space="preserve">. </w:t>
            </w:r>
            <w:r w:rsidR="00186C73" w:rsidRPr="00186C73">
              <w:rPr>
                <w:sz w:val="17"/>
                <w:szCs w:val="17"/>
              </w:rPr>
              <w:t>Appointing a Chief Sustainability Officer gives the strategy clear ownership and board-level accountability, ensuring sustainability is embedded in decision-making rather than treated as a side initiative.</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28E6DF1" w14:textId="77777777" w:rsidR="008A48DA" w:rsidRDefault="008B3976">
            <w:r>
              <w:rPr>
                <w:sz w:val="17"/>
                <w:szCs w:val="17"/>
              </w:rPr>
              <w:t>ESG report published</w:t>
            </w:r>
          </w:p>
        </w:tc>
        <w:tc>
          <w:tcPr>
            <w:tcW w:w="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D1C97A9" w14:textId="77777777" w:rsidR="008A48DA" w:rsidRDefault="008B3976">
            <w:r>
              <w:rPr>
                <w:sz w:val="17"/>
                <w:szCs w:val="17"/>
              </w:rPr>
              <w:t>SDG 8, 13</w:t>
            </w:r>
          </w:p>
        </w:tc>
      </w:tr>
      <w:tr w:rsidR="008A48DA" w14:paraId="54C76726" w14:textId="77777777">
        <w:tc>
          <w:tcPr>
            <w:tcW w:w="11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5F25DEC8" w14:textId="77777777" w:rsidR="008A48DA" w:rsidRDefault="008B3976">
            <w:r>
              <w:rPr>
                <w:sz w:val="17"/>
                <w:szCs w:val="17"/>
              </w:rPr>
              <w:t>Year 2 (2027)</w:t>
            </w:r>
          </w:p>
        </w:tc>
        <w:tc>
          <w:tcPr>
            <w:tcW w:w="18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4AE09139" w14:textId="77777777" w:rsidR="008A48DA" w:rsidRDefault="008B3976">
            <w:r>
              <w:rPr>
                <w:sz w:val="17"/>
                <w:szCs w:val="17"/>
              </w:rPr>
              <w:t>Electrify product line</w:t>
            </w:r>
          </w:p>
        </w:tc>
        <w:tc>
          <w:tcPr>
            <w:tcW w:w="28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24300722" w14:textId="018E37BB" w:rsidR="008A48DA" w:rsidRPr="000D0B03" w:rsidRDefault="008B3976">
            <w:pPr>
              <w:rPr>
                <w:lang w:val="en-GB"/>
              </w:rPr>
            </w:pPr>
            <w:r>
              <w:rPr>
                <w:sz w:val="17"/>
                <w:szCs w:val="17"/>
              </w:rPr>
              <w:t>Launch first fully electric variant (EV version of Fab4WD or Fantastic)</w:t>
            </w:r>
            <w:r w:rsidR="00BB5486">
              <w:rPr>
                <w:sz w:val="17"/>
                <w:szCs w:val="17"/>
                <w:lang w:val="en-GB"/>
              </w:rPr>
              <w:t xml:space="preserve">. </w:t>
            </w:r>
            <w:r w:rsidR="00BB5486" w:rsidRPr="00BB5486">
              <w:rPr>
                <w:sz w:val="17"/>
                <w:szCs w:val="17"/>
              </w:rPr>
              <w:t>This is the firm’s most material lever, because the bulk of a vehicle manufacturer’s lifetime emissions occur in the use phase, and battery-electric vehicles roughly halve those lifecycle emissions</w:t>
            </w:r>
            <w:r w:rsidR="000D0B03">
              <w:rPr>
                <w:sz w:val="17"/>
                <w:szCs w:val="17"/>
                <w:lang w:val="en-GB"/>
              </w:rPr>
              <w:t xml:space="preserve">. </w:t>
            </w:r>
          </w:p>
        </w:tc>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618E6B81" w14:textId="77777777" w:rsidR="008A48DA" w:rsidRDefault="008B3976">
            <w:r>
              <w:rPr>
                <w:sz w:val="17"/>
                <w:szCs w:val="17"/>
              </w:rPr>
              <w:t>EV = 15% of unit sales</w:t>
            </w:r>
          </w:p>
        </w:tc>
        <w:tc>
          <w:tcPr>
            <w:tcW w:w="66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2FBF30FF" w14:textId="77777777" w:rsidR="008A48DA" w:rsidRDefault="008B3976">
            <w:r>
              <w:rPr>
                <w:sz w:val="17"/>
                <w:szCs w:val="17"/>
              </w:rPr>
              <w:t>SDG 7, 13</w:t>
            </w:r>
          </w:p>
        </w:tc>
      </w:tr>
      <w:tr w:rsidR="008A48DA" w14:paraId="69C34939" w14:textId="77777777">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0CD05B5" w14:textId="77777777" w:rsidR="008A48DA" w:rsidRDefault="008B3976">
            <w:r>
              <w:rPr>
                <w:sz w:val="17"/>
                <w:szCs w:val="17"/>
              </w:rPr>
              <w:t>Year 2 (2027)</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460AF9E" w14:textId="77777777" w:rsidR="008A48DA" w:rsidRDefault="008B3976">
            <w:r>
              <w:rPr>
                <w:sz w:val="17"/>
                <w:szCs w:val="17"/>
              </w:rPr>
              <w:t>Responsible sourcing</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C3E2974" w14:textId="6CE763CD" w:rsidR="008A48DA" w:rsidRPr="000D0B03" w:rsidRDefault="008B3976">
            <w:pPr>
              <w:rPr>
                <w:lang w:val="en-GB"/>
              </w:rPr>
            </w:pPr>
            <w:r>
              <w:rPr>
                <w:sz w:val="17"/>
                <w:szCs w:val="17"/>
              </w:rPr>
              <w:t>Audit top 50 suppliers for labour and environmental standards</w:t>
            </w:r>
            <w:r w:rsidR="000D0B03">
              <w:rPr>
                <w:sz w:val="17"/>
                <w:szCs w:val="17"/>
                <w:lang w:val="en-GB"/>
              </w:rPr>
              <w:t xml:space="preserve">. </w:t>
            </w:r>
            <w:r w:rsidR="000D0B03" w:rsidRPr="000D0B03">
              <w:rPr>
                <w:sz w:val="17"/>
                <w:szCs w:val="17"/>
              </w:rPr>
              <w:t>Because raw-material extraction and component manufacturing carry the firm’s most severe social and environmental risks, auditing the highest-spend suppliers addresses the largest share of upstream impact first</w:t>
            </w:r>
            <w:r w:rsidR="000D0B03">
              <w:rPr>
                <w:sz w:val="17"/>
                <w:szCs w:val="17"/>
                <w:lang w:val="en-GB"/>
              </w:rPr>
              <w:t>.</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7C8F90C" w14:textId="77777777" w:rsidR="008A48DA" w:rsidRDefault="008B3976">
            <w:r>
              <w:rPr>
                <w:sz w:val="17"/>
                <w:szCs w:val="17"/>
              </w:rPr>
              <w:t>100% top-50 audited</w:t>
            </w:r>
          </w:p>
        </w:tc>
        <w:tc>
          <w:tcPr>
            <w:tcW w:w="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406F3CA" w14:textId="77777777" w:rsidR="008A48DA" w:rsidRDefault="008B3976">
            <w:r>
              <w:rPr>
                <w:sz w:val="17"/>
                <w:szCs w:val="17"/>
              </w:rPr>
              <w:t>SDG 8, 12</w:t>
            </w:r>
          </w:p>
        </w:tc>
      </w:tr>
      <w:tr w:rsidR="008A48DA" w14:paraId="3A34D80A" w14:textId="77777777">
        <w:tc>
          <w:tcPr>
            <w:tcW w:w="11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03DCFC6F" w14:textId="77777777" w:rsidR="008A48DA" w:rsidRDefault="008B3976">
            <w:r>
              <w:rPr>
                <w:sz w:val="17"/>
                <w:szCs w:val="17"/>
              </w:rPr>
              <w:t>Year 3 (2028)</w:t>
            </w:r>
          </w:p>
        </w:tc>
        <w:tc>
          <w:tcPr>
            <w:tcW w:w="18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4FCCD0F1" w14:textId="77777777" w:rsidR="008A48DA" w:rsidRDefault="008B3976">
            <w:r>
              <w:rPr>
                <w:sz w:val="17"/>
                <w:szCs w:val="17"/>
              </w:rPr>
              <w:t>Reduce fossil fuel use in operations</w:t>
            </w:r>
          </w:p>
        </w:tc>
        <w:tc>
          <w:tcPr>
            <w:tcW w:w="28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7F78843D" w14:textId="44FE6D46" w:rsidR="008A48DA" w:rsidRPr="00294E08" w:rsidRDefault="008B3976">
            <w:pPr>
              <w:rPr>
                <w:lang w:val="en-GB"/>
              </w:rPr>
            </w:pPr>
            <w:r>
              <w:rPr>
                <w:sz w:val="17"/>
                <w:szCs w:val="17"/>
              </w:rPr>
              <w:t>Install 5 MW solar on domestic plant; fossil-fuel vehicles in company fleet down 50%</w:t>
            </w:r>
            <w:r w:rsidR="000D0B03">
              <w:rPr>
                <w:sz w:val="17"/>
                <w:szCs w:val="17"/>
                <w:lang w:val="en-GB"/>
              </w:rPr>
              <w:t xml:space="preserve">. </w:t>
            </w:r>
            <w:r w:rsidR="00294E08" w:rsidRPr="00294E08">
              <w:rPr>
                <w:sz w:val="17"/>
                <w:szCs w:val="17"/>
              </w:rPr>
              <w:t>On-site solar generation locks in long-term, low-cost clean electricity and reduces reliance on volatile grid and fuel prices, deepening the energy transition begun in Year 1.</w:t>
            </w:r>
          </w:p>
        </w:tc>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4D761E6E" w14:textId="77777777" w:rsidR="008A48DA" w:rsidRDefault="008B3976">
            <w:r>
              <w:rPr>
                <w:sz w:val="17"/>
                <w:szCs w:val="17"/>
              </w:rPr>
              <w:t>Plant fossil fuel use -30%</w:t>
            </w:r>
          </w:p>
        </w:tc>
        <w:tc>
          <w:tcPr>
            <w:tcW w:w="66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477A4EFB" w14:textId="77777777" w:rsidR="008A48DA" w:rsidRDefault="008B3976">
            <w:r>
              <w:rPr>
                <w:sz w:val="17"/>
                <w:szCs w:val="17"/>
              </w:rPr>
              <w:t>SDG 7</w:t>
            </w:r>
          </w:p>
        </w:tc>
      </w:tr>
      <w:tr w:rsidR="008A48DA" w14:paraId="28DEAE6E" w14:textId="77777777">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850BDD8" w14:textId="77777777" w:rsidR="008A48DA" w:rsidRDefault="008B3976">
            <w:r>
              <w:rPr>
                <w:sz w:val="17"/>
                <w:szCs w:val="17"/>
              </w:rPr>
              <w:t>Year 3 (2028)</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C8FC283" w14:textId="77777777" w:rsidR="008A48DA" w:rsidRDefault="008B3976">
            <w:r>
              <w:rPr>
                <w:sz w:val="17"/>
                <w:szCs w:val="17"/>
              </w:rPr>
              <w:t>Urban congestion partnership</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225FA86" w14:textId="76395BE5" w:rsidR="008A48DA" w:rsidRPr="00D95332" w:rsidRDefault="008B3976">
            <w:pPr>
              <w:rPr>
                <w:lang w:val="en-GB"/>
              </w:rPr>
            </w:pPr>
            <w:r>
              <w:rPr>
                <w:sz w:val="17"/>
                <w:szCs w:val="17"/>
              </w:rPr>
              <w:t>Partner with city of operations for fleet EV sharing scheme</w:t>
            </w:r>
            <w:r w:rsidR="00D95332">
              <w:rPr>
                <w:sz w:val="17"/>
                <w:szCs w:val="17"/>
                <w:lang w:val="en-GB"/>
              </w:rPr>
              <w:t xml:space="preserve">. </w:t>
            </w:r>
            <w:r w:rsidR="00D95332" w:rsidRPr="00D95332">
              <w:rPr>
                <w:sz w:val="17"/>
                <w:szCs w:val="17"/>
              </w:rPr>
              <w:t>Shared electric fleets reduce the number of private vehicles needed for the same mobility, easing congestion and improving urban air quality where the firm operat</w:t>
            </w:r>
            <w:r w:rsidR="00622B7E">
              <w:rPr>
                <w:sz w:val="17"/>
                <w:szCs w:val="17"/>
                <w:lang w:val="en-GB"/>
              </w:rPr>
              <w:t>e</w:t>
            </w:r>
            <w:r w:rsidR="00D95332" w:rsidRPr="00D95332">
              <w:rPr>
                <w:sz w:val="17"/>
                <w:szCs w:val="17"/>
              </w:rPr>
              <w:t>s.</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608C5E9" w14:textId="77777777" w:rsidR="008A48DA" w:rsidRDefault="008B3976">
            <w:r>
              <w:rPr>
                <w:sz w:val="17"/>
                <w:szCs w:val="17"/>
              </w:rPr>
              <w:t>500 EV fleet units deployed</w:t>
            </w:r>
          </w:p>
        </w:tc>
        <w:tc>
          <w:tcPr>
            <w:tcW w:w="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99D76AC" w14:textId="77777777" w:rsidR="008A48DA" w:rsidRDefault="008B3976">
            <w:r>
              <w:rPr>
                <w:sz w:val="17"/>
                <w:szCs w:val="17"/>
              </w:rPr>
              <w:t>SDG 11</w:t>
            </w:r>
          </w:p>
        </w:tc>
      </w:tr>
      <w:tr w:rsidR="008A48DA" w14:paraId="6630F0DA" w14:textId="77777777">
        <w:tc>
          <w:tcPr>
            <w:tcW w:w="11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01D674E0" w14:textId="77777777" w:rsidR="008A48DA" w:rsidRDefault="008B3976">
            <w:r>
              <w:rPr>
                <w:sz w:val="17"/>
                <w:szCs w:val="17"/>
              </w:rPr>
              <w:t>Year 4 (2029)</w:t>
            </w:r>
          </w:p>
        </w:tc>
        <w:tc>
          <w:tcPr>
            <w:tcW w:w="18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1B4E70B9" w14:textId="77777777" w:rsidR="008A48DA" w:rsidRDefault="008B3976">
            <w:r>
              <w:rPr>
                <w:sz w:val="17"/>
                <w:szCs w:val="17"/>
              </w:rPr>
              <w:t>Circular economy</w:t>
            </w:r>
          </w:p>
        </w:tc>
        <w:tc>
          <w:tcPr>
            <w:tcW w:w="28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2B47174B" w14:textId="05D5F140" w:rsidR="008A48DA" w:rsidRPr="00FF3116" w:rsidRDefault="008B3976">
            <w:pPr>
              <w:rPr>
                <w:lang w:val="en-GB"/>
              </w:rPr>
            </w:pPr>
            <w:r>
              <w:rPr>
                <w:sz w:val="17"/>
                <w:szCs w:val="17"/>
              </w:rPr>
              <w:t>Launch battery take-back programme; achieve 80% recycled material in batteries</w:t>
            </w:r>
            <w:r w:rsidR="00FF3116">
              <w:rPr>
                <w:sz w:val="17"/>
                <w:szCs w:val="17"/>
                <w:lang w:val="en-GB"/>
              </w:rPr>
              <w:t xml:space="preserve">. </w:t>
            </w:r>
            <w:r w:rsidR="00FF3116" w:rsidRPr="00FF3116">
              <w:rPr>
                <w:sz w:val="17"/>
                <w:szCs w:val="17"/>
              </w:rPr>
              <w:t>Recovering end-of-life batteries closes the materials loop, returning lithium, cobalt and nickel to production and reducing both hazardous waste and the need for new mining.</w:t>
            </w:r>
          </w:p>
        </w:tc>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6155578F" w14:textId="77777777" w:rsidR="008A48DA" w:rsidRDefault="008B3976">
            <w:r>
              <w:rPr>
                <w:sz w:val="17"/>
                <w:szCs w:val="17"/>
              </w:rPr>
              <w:t>Battery recycling rate 80%</w:t>
            </w:r>
          </w:p>
        </w:tc>
        <w:tc>
          <w:tcPr>
            <w:tcW w:w="66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220CF573" w14:textId="77777777" w:rsidR="008A48DA" w:rsidRDefault="008B3976">
            <w:r>
              <w:rPr>
                <w:sz w:val="17"/>
                <w:szCs w:val="17"/>
              </w:rPr>
              <w:t>SDG 12</w:t>
            </w:r>
          </w:p>
        </w:tc>
      </w:tr>
      <w:tr w:rsidR="008A48DA" w14:paraId="6386A008" w14:textId="77777777">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E94BE3F" w14:textId="77777777" w:rsidR="008A48DA" w:rsidRDefault="008B3976">
            <w:r>
              <w:rPr>
                <w:sz w:val="17"/>
                <w:szCs w:val="17"/>
              </w:rPr>
              <w:lastRenderedPageBreak/>
              <w:t>Year 4 (2029)</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B537C09" w14:textId="77777777" w:rsidR="008A48DA" w:rsidRDefault="008B3976">
            <w:r>
              <w:rPr>
                <w:sz w:val="17"/>
                <w:szCs w:val="17"/>
              </w:rPr>
              <w:t>Zero waste to landfill</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CCA3691" w14:textId="6CDD6DF3" w:rsidR="008A48DA" w:rsidRPr="006A35F9" w:rsidRDefault="008B3976">
            <w:pPr>
              <w:rPr>
                <w:lang w:val="en-GB"/>
              </w:rPr>
            </w:pPr>
            <w:r>
              <w:rPr>
                <w:sz w:val="17"/>
                <w:szCs w:val="17"/>
              </w:rPr>
              <w:t>Divert 90% of manufacturing waste via reuse or recycling</w:t>
            </w:r>
            <w:r w:rsidR="006A35F9">
              <w:rPr>
                <w:sz w:val="17"/>
                <w:szCs w:val="17"/>
                <w:lang w:val="en-GB"/>
              </w:rPr>
              <w:t xml:space="preserve">. </w:t>
            </w:r>
            <w:r w:rsidR="006A35F9" w:rsidRPr="006A35F9">
              <w:rPr>
                <w:sz w:val="17"/>
                <w:szCs w:val="17"/>
              </w:rPr>
              <w:t>Treating manufacturing waste as a recoverable resource rather than disposal cuts environmental harm and often lowers cost through material recovery and reduced landfill fees</w:t>
            </w:r>
            <w:r w:rsidR="006A35F9">
              <w:rPr>
                <w:sz w:val="17"/>
                <w:szCs w:val="17"/>
                <w:lang w:val="en-GB"/>
              </w:rPr>
              <w:t>.</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49C3596" w14:textId="77777777" w:rsidR="008A48DA" w:rsidRDefault="008B3976">
            <w:r>
              <w:rPr>
                <w:sz w:val="17"/>
                <w:szCs w:val="17"/>
              </w:rPr>
              <w:t>Waste to landfill -90%</w:t>
            </w:r>
          </w:p>
        </w:tc>
        <w:tc>
          <w:tcPr>
            <w:tcW w:w="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7C09E52" w14:textId="77777777" w:rsidR="008A48DA" w:rsidRDefault="008B3976">
            <w:r>
              <w:rPr>
                <w:sz w:val="17"/>
                <w:szCs w:val="17"/>
              </w:rPr>
              <w:t>SDG 12</w:t>
            </w:r>
          </w:p>
        </w:tc>
      </w:tr>
      <w:tr w:rsidR="008A48DA" w14:paraId="2FF1210B" w14:textId="77777777">
        <w:tc>
          <w:tcPr>
            <w:tcW w:w="11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3EB6307E" w14:textId="77777777" w:rsidR="008A48DA" w:rsidRDefault="008B3976">
            <w:r>
              <w:rPr>
                <w:sz w:val="17"/>
                <w:szCs w:val="17"/>
              </w:rPr>
              <w:t>Year 5 (2030)</w:t>
            </w:r>
          </w:p>
        </w:tc>
        <w:tc>
          <w:tcPr>
            <w:tcW w:w="18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6E6F2697" w14:textId="77777777" w:rsidR="008A48DA" w:rsidRDefault="008B3976">
            <w:r>
              <w:rPr>
                <w:sz w:val="17"/>
                <w:szCs w:val="17"/>
              </w:rPr>
              <w:t>Net-zero operations</w:t>
            </w:r>
          </w:p>
        </w:tc>
        <w:tc>
          <w:tcPr>
            <w:tcW w:w="28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3928605F" w14:textId="21D7C55A" w:rsidR="008A48DA" w:rsidRPr="00164E92" w:rsidRDefault="008B3976">
            <w:pPr>
              <w:rPr>
                <w:lang w:val="en-GB"/>
              </w:rPr>
            </w:pPr>
            <w:r>
              <w:rPr>
                <w:sz w:val="17"/>
                <w:szCs w:val="17"/>
              </w:rPr>
              <w:t>Offset remaining emissions; achieve carbon-neutral manufacturing plant</w:t>
            </w:r>
            <w:r w:rsidR="00164E92">
              <w:rPr>
                <w:sz w:val="17"/>
                <w:szCs w:val="17"/>
                <w:lang w:val="en-GB"/>
              </w:rPr>
              <w:t xml:space="preserve">. </w:t>
            </w:r>
            <w:r w:rsidR="00164E92" w:rsidRPr="00164E92">
              <w:rPr>
                <w:sz w:val="17"/>
                <w:szCs w:val="17"/>
              </w:rPr>
              <w:t>After years of absolute reductions through renewable energy and efficiency, only a small residual remains, which is neutralised with high-quality carbon removals in line with recognised net-zero practice</w:t>
            </w:r>
            <w:r w:rsidR="00164E92">
              <w:rPr>
                <w:sz w:val="17"/>
                <w:szCs w:val="17"/>
                <w:lang w:val="en-GB"/>
              </w:rPr>
              <w:t>.</w:t>
            </w:r>
          </w:p>
        </w:tc>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5D05FD8B" w14:textId="77777777" w:rsidR="008A48DA" w:rsidRDefault="008B3976">
            <w:r>
              <w:rPr>
                <w:sz w:val="17"/>
                <w:szCs w:val="17"/>
              </w:rPr>
              <w:t>Scope 1+2 net-zero</w:t>
            </w:r>
          </w:p>
        </w:tc>
        <w:tc>
          <w:tcPr>
            <w:tcW w:w="66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tcPr>
          <w:p w14:paraId="49DC9FF4" w14:textId="77777777" w:rsidR="008A48DA" w:rsidRDefault="008B3976">
            <w:r>
              <w:rPr>
                <w:sz w:val="17"/>
                <w:szCs w:val="17"/>
              </w:rPr>
              <w:t>SDG 13</w:t>
            </w:r>
          </w:p>
        </w:tc>
      </w:tr>
      <w:tr w:rsidR="008A48DA" w14:paraId="24C6CF9F" w14:textId="77777777">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08D6ED3" w14:textId="77777777" w:rsidR="008A48DA" w:rsidRDefault="008B3976">
            <w:r>
              <w:rPr>
                <w:sz w:val="17"/>
                <w:szCs w:val="17"/>
              </w:rPr>
              <w:t>Year 5 (2030)</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CE16799" w14:textId="77777777" w:rsidR="008A48DA" w:rsidRDefault="008B3976">
            <w:r>
              <w:rPr>
                <w:sz w:val="17"/>
                <w:szCs w:val="17"/>
              </w:rPr>
              <w:t>50% EV product portfolio</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E503558" w14:textId="51CA91CB" w:rsidR="008A48DA" w:rsidRPr="00164E92" w:rsidRDefault="008B3976">
            <w:pPr>
              <w:rPr>
                <w:lang w:val="en-GB"/>
              </w:rPr>
            </w:pPr>
            <w:r>
              <w:rPr>
                <w:sz w:val="17"/>
                <w:szCs w:val="17"/>
              </w:rPr>
              <w:t>All new model launches to be EV or hybrid only</w:t>
            </w:r>
            <w:r w:rsidR="00164E92">
              <w:rPr>
                <w:sz w:val="17"/>
                <w:szCs w:val="17"/>
                <w:lang w:val="en-GB"/>
              </w:rPr>
              <w:t xml:space="preserve">. </w:t>
            </w:r>
            <w:r w:rsidR="00254292" w:rsidRPr="00254292">
              <w:rPr>
                <w:sz w:val="17"/>
                <w:szCs w:val="17"/>
              </w:rPr>
              <w:t>A launch policy of EV or hybrid only ensures the portfolio shifts permanently toward low-emission vehicles, compounding the use-phase emission savings achieved since Year 2.</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61B45DC" w14:textId="77777777" w:rsidR="008A48DA" w:rsidRDefault="008B3976">
            <w:r>
              <w:rPr>
                <w:sz w:val="17"/>
                <w:szCs w:val="17"/>
              </w:rPr>
              <w:t>Fossil-fuel km driven -50%</w:t>
            </w:r>
          </w:p>
        </w:tc>
        <w:tc>
          <w:tcPr>
            <w:tcW w:w="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F540169" w14:textId="77777777" w:rsidR="008A48DA" w:rsidRDefault="008B3976">
            <w:r>
              <w:rPr>
                <w:sz w:val="17"/>
                <w:szCs w:val="17"/>
              </w:rPr>
              <w:t>SDG 7, 13</w:t>
            </w:r>
          </w:p>
        </w:tc>
      </w:tr>
    </w:tbl>
    <w:p w14:paraId="7A17BC42" w14:textId="77777777" w:rsidR="008A48DA" w:rsidRDefault="008A48DA">
      <w:pPr>
        <w:spacing w:after="80"/>
      </w:pPr>
    </w:p>
    <w:p w14:paraId="7B9E2456" w14:textId="77777777" w:rsidR="008A48DA" w:rsidRDefault="008B3976">
      <w:pPr>
        <w:pStyle w:val="Heading2"/>
      </w:pPr>
      <w:bookmarkStart w:id="12" w:name="_Toc232098054"/>
      <w:r>
        <w:t>6.1 Link to Mission and Vision</w:t>
      </w:r>
      <w:bookmarkEnd w:id="12"/>
    </w:p>
    <w:p w14:paraId="7CE4FAE3" w14:textId="77777777" w:rsidR="008A48DA" w:rsidRDefault="008B3976">
      <w:pPr>
        <w:spacing w:after="160"/>
        <w:jc w:val="both"/>
      </w:pPr>
      <w:r>
        <w:t>Firm F's mission is to provide high-quality, innovative vehicles that deliver exceptional value for customers while minimising harm to the environment and society. The five-year strategic action plan directly operationalises this mission by targeting the most critical sustainability impacts identified in the SDG value chain analysis.</w:t>
      </w:r>
    </w:p>
    <w:p w14:paraId="7779DC35" w14:textId="77777777" w:rsidR="008A48DA" w:rsidRDefault="008B3976">
      <w:pPr>
        <w:spacing w:after="160"/>
        <w:jc w:val="both"/>
      </w:pPr>
      <w:r>
        <w:t>The first two years focus on governance and product electrification — ensuring that the company builds the institutional capability (Chief Sustainability Officer, carbon pricing, ESG reporting) and product innovation (EV model launch) needed to sustain long-term change. The middle years address operational efficiency and circular economy practices, targeting SDG 12 (responsible consumption) and SDG 7 (clean energy). The final years of the plan align with global 2030 targets under the Paris Agreement, aiming for net-zero Scope 1 and Scope 2 emissions in manufacturing.</w:t>
      </w:r>
    </w:p>
    <w:p w14:paraId="483CB18A" w14:textId="56A577E9" w:rsidR="008A48DA" w:rsidRPr="00FA1E4A" w:rsidRDefault="008B3976" w:rsidP="00FA1E4A">
      <w:pPr>
        <w:spacing w:after="160"/>
        <w:jc w:val="both"/>
      </w:pPr>
      <w:r>
        <w:t>This trajectory is financially credible. Firm F ended Year 8 with $17.6M in cash and $6.1M net income (StratSim Management, Year 8 Income Statement). A Green Innovation Fund allocating 2% of net income (~$122K annually) provides a dedicated, low-risk starting mechanism. Larger investments, such as the solar plant installation and EV product development, are supported by the company's strong balance sheet ($26.9M total assets, $20.9M equity) and positive operating cash flow of $7.1M (StratSim Management, Year 8 Cash Flow Statement; Balance Sheet).</w:t>
      </w:r>
      <w:r w:rsidR="00FC6548">
        <w:br w:type="page"/>
      </w:r>
    </w:p>
    <w:p w14:paraId="308D7DB5" w14:textId="77777777" w:rsidR="008A48DA" w:rsidRDefault="008B3976">
      <w:pPr>
        <w:pStyle w:val="Heading1"/>
      </w:pPr>
      <w:bookmarkStart w:id="13" w:name="_Toc232098055"/>
      <w:r>
        <w:lastRenderedPageBreak/>
        <w:t xml:space="preserve">7. </w:t>
      </w:r>
      <w:proofErr w:type="spellStart"/>
      <w:r>
        <w:t>Bibliography</w:t>
      </w:r>
      <w:bookmarkEnd w:id="13"/>
      <w:proofErr w:type="spellEnd"/>
    </w:p>
    <w:p w14:paraId="3F1C58B4" w14:textId="1263C2EA" w:rsidR="008A48DA" w:rsidRDefault="008B3976">
      <w:pPr>
        <w:spacing w:after="160"/>
        <w:jc w:val="both"/>
        <w:rPr>
          <w:lang w:val="en-GB"/>
        </w:rPr>
      </w:pPr>
      <w:r>
        <w:t xml:space="preserve">Claude. (2026). Brainstorming sustainability ideas for the automobile industry [AI-generated content]. Anthropic. </w:t>
      </w:r>
      <w:hyperlink r:id="rId13" w:history="1">
        <w:r w:rsidR="00306336" w:rsidRPr="00467047">
          <w:rPr>
            <w:rStyle w:val="Hyperlink"/>
          </w:rPr>
          <w:t>https://claude.ai</w:t>
        </w:r>
      </w:hyperlink>
    </w:p>
    <w:p w14:paraId="3D83C3F6" w14:textId="401929F7" w:rsidR="008A48DA" w:rsidRDefault="008B3976">
      <w:pPr>
        <w:spacing w:after="160"/>
        <w:jc w:val="both"/>
        <w:rPr>
          <w:lang w:val="en-GB"/>
        </w:rPr>
      </w:pPr>
      <w:r>
        <w:t xml:space="preserve">Environmental Protection Agency [EPA]. (2023). Greenhouse gas emissions from a typical passenger vehicle. United States Environmental Protection Agency. </w:t>
      </w:r>
      <w:hyperlink r:id="rId14" w:history="1">
        <w:r w:rsidR="00306336" w:rsidRPr="00467047">
          <w:rPr>
            <w:rStyle w:val="Hyperlink"/>
          </w:rPr>
          <w:t>https://www.epa.gov</w:t>
        </w:r>
      </w:hyperlink>
    </w:p>
    <w:p w14:paraId="030194A7" w14:textId="003F265D" w:rsidR="008A48DA" w:rsidRDefault="008B3976">
      <w:pPr>
        <w:spacing w:after="160"/>
        <w:jc w:val="both"/>
        <w:rPr>
          <w:lang w:val="en-GB"/>
        </w:rPr>
      </w:pPr>
      <w:r>
        <w:t xml:space="preserve">European Commission. (2020). Circular economy action plan: For a cleaner and more competitive Europe. European Commission. </w:t>
      </w:r>
      <w:hyperlink r:id="rId15" w:history="1">
        <w:r w:rsidR="00306336" w:rsidRPr="00467047">
          <w:rPr>
            <w:rStyle w:val="Hyperlink"/>
          </w:rPr>
          <w:t>https://ec.europa.eu</w:t>
        </w:r>
      </w:hyperlink>
    </w:p>
    <w:p w14:paraId="6EB08DCD" w14:textId="1C19A4A8" w:rsidR="008A48DA" w:rsidRDefault="008B3976">
      <w:pPr>
        <w:spacing w:after="160"/>
        <w:jc w:val="both"/>
        <w:rPr>
          <w:lang w:val="en-GB"/>
        </w:rPr>
      </w:pPr>
      <w:r>
        <w:t xml:space="preserve">Intergovernmental Panel on Climate Change [IPCC]. (2022). Climate change 2022: Mitigation of climate change. Contribution of Working Group III to the Sixth Assessment Report. Cambridge University Press. </w:t>
      </w:r>
      <w:hyperlink r:id="rId16" w:history="1">
        <w:r w:rsidR="00306336" w:rsidRPr="00467047">
          <w:rPr>
            <w:rStyle w:val="Hyperlink"/>
          </w:rPr>
          <w:t>https://doi.org/10.1017/9781009157926</w:t>
        </w:r>
      </w:hyperlink>
    </w:p>
    <w:p w14:paraId="063CE817" w14:textId="06093262" w:rsidR="008A48DA" w:rsidRDefault="008B3976">
      <w:pPr>
        <w:spacing w:after="160"/>
        <w:jc w:val="both"/>
        <w:rPr>
          <w:lang w:val="en-GB"/>
        </w:rPr>
      </w:pPr>
      <w:r>
        <w:t xml:space="preserve">International Energy Agency [IEA]. (2021). Net zero by 2050: A roadmap for the global energy sector. IEA. </w:t>
      </w:r>
      <w:hyperlink r:id="rId17" w:history="1">
        <w:r w:rsidR="00306336" w:rsidRPr="00467047">
          <w:rPr>
            <w:rStyle w:val="Hyperlink"/>
          </w:rPr>
          <w:t>https://www.iea.org/reports/net-zero-by-2050</w:t>
        </w:r>
      </w:hyperlink>
    </w:p>
    <w:p w14:paraId="69A07313" w14:textId="0C7E9D70" w:rsidR="008A48DA" w:rsidRDefault="008B3976">
      <w:pPr>
        <w:spacing w:after="160"/>
        <w:jc w:val="both"/>
        <w:rPr>
          <w:lang w:val="en-GB"/>
        </w:rPr>
      </w:pPr>
      <w:r>
        <w:t xml:space="preserve">StratSim Management. (Year 8). Company dashboard, income statement, cash flow statement, balance sheet, product contribution, manufacturing, competition/manufacturing, and portfolio analysis [Simulation data]. Interpretive Simulations. </w:t>
      </w:r>
      <w:hyperlink r:id="rId18" w:history="1">
        <w:r w:rsidR="00306336" w:rsidRPr="00467047">
          <w:rPr>
            <w:rStyle w:val="Hyperlink"/>
          </w:rPr>
          <w:t>https://app6.interpretive.com</w:t>
        </w:r>
      </w:hyperlink>
    </w:p>
    <w:p w14:paraId="4B6B8CFF" w14:textId="08936407" w:rsidR="008A48DA" w:rsidRDefault="008B3976">
      <w:pPr>
        <w:spacing w:after="160"/>
        <w:jc w:val="both"/>
        <w:rPr>
          <w:lang w:val="en-GB"/>
        </w:rPr>
      </w:pPr>
      <w:r>
        <w:t xml:space="preserve">United Nations Environment Programme [UNEP]. (2021). Waste management outlook for mountain regions: Sources and solutions. UNEP. </w:t>
      </w:r>
      <w:hyperlink r:id="rId19" w:history="1">
        <w:r w:rsidR="00306336" w:rsidRPr="00467047">
          <w:rPr>
            <w:rStyle w:val="Hyperlink"/>
          </w:rPr>
          <w:t>https://www.unep.org</w:t>
        </w:r>
      </w:hyperlink>
    </w:p>
    <w:p w14:paraId="780CFE75" w14:textId="7FFD6945" w:rsidR="008A48DA" w:rsidRDefault="008B3976">
      <w:pPr>
        <w:spacing w:after="160"/>
        <w:jc w:val="both"/>
        <w:rPr>
          <w:lang w:val="en-GB"/>
        </w:rPr>
      </w:pPr>
      <w:r>
        <w:t xml:space="preserve">World Health Organization [WHO]. (2022). Ambient (outdoor) air pollution. WHO. </w:t>
      </w:r>
      <w:hyperlink r:id="rId20" w:history="1">
        <w:r w:rsidR="00306336" w:rsidRPr="00467047">
          <w:rPr>
            <w:rStyle w:val="Hyperlink"/>
          </w:rPr>
          <w:t>https://www.who.int/news-room/fact-sheets/detail/ambient-(outdoor)-air-quality-and-health</w:t>
        </w:r>
      </w:hyperlink>
    </w:p>
    <w:p w14:paraId="4DD07C02" w14:textId="7DDD7E75" w:rsidR="00306336" w:rsidRDefault="00306336" w:rsidP="00306336">
      <w:pPr>
        <w:spacing w:after="160"/>
        <w:jc w:val="both"/>
      </w:pPr>
      <w:r w:rsidRPr="00306336">
        <w:t xml:space="preserve">Aluminium </w:t>
      </w:r>
      <w:proofErr w:type="spellStart"/>
      <w:r w:rsidRPr="00306336">
        <w:t>Stewardship</w:t>
      </w:r>
      <w:proofErr w:type="spellEnd"/>
      <w:r w:rsidRPr="00306336">
        <w:t xml:space="preserve"> </w:t>
      </w:r>
      <w:proofErr w:type="spellStart"/>
      <w:r w:rsidRPr="00306336">
        <w:t>Initiative</w:t>
      </w:r>
      <w:proofErr w:type="spellEnd"/>
      <w:r w:rsidRPr="00306336">
        <w:t>. (</w:t>
      </w:r>
      <w:proofErr w:type="spellStart"/>
      <w:r w:rsidRPr="00306336">
        <w:t>n.d</w:t>
      </w:r>
      <w:proofErr w:type="spellEnd"/>
      <w:r w:rsidRPr="00306336">
        <w:t xml:space="preserve">.). </w:t>
      </w:r>
      <w:proofErr w:type="spellStart"/>
      <w:r w:rsidRPr="00306336">
        <w:rPr>
          <w:i/>
          <w:iCs/>
        </w:rPr>
        <w:t>Responsible</w:t>
      </w:r>
      <w:proofErr w:type="spellEnd"/>
      <w:r w:rsidRPr="00306336">
        <w:rPr>
          <w:i/>
          <w:iCs/>
        </w:rPr>
        <w:t xml:space="preserve"> </w:t>
      </w:r>
      <w:proofErr w:type="spellStart"/>
      <w:r w:rsidRPr="00306336">
        <w:rPr>
          <w:i/>
          <w:iCs/>
        </w:rPr>
        <w:t>sourcing</w:t>
      </w:r>
      <w:proofErr w:type="spellEnd"/>
      <w:r w:rsidRPr="00306336">
        <w:t xml:space="preserve">. </w:t>
      </w:r>
      <w:hyperlink r:id="rId21" w:history="1">
        <w:r w:rsidRPr="00306336">
          <w:rPr>
            <w:rStyle w:val="Hyperlink"/>
          </w:rPr>
          <w:t>https://aluminium-stewardship.org/drive-change/responsible-sourcing</w:t>
        </w:r>
      </w:hyperlink>
    </w:p>
    <w:p w14:paraId="7031C9BB" w14:textId="1284593B" w:rsidR="00306336" w:rsidRDefault="00306336" w:rsidP="00306336">
      <w:pPr>
        <w:spacing w:after="160"/>
        <w:jc w:val="both"/>
      </w:pPr>
      <w:r w:rsidRPr="00306336">
        <w:t xml:space="preserve">Ellen </w:t>
      </w:r>
      <w:proofErr w:type="spellStart"/>
      <w:r w:rsidRPr="00306336">
        <w:t>MacArthur</w:t>
      </w:r>
      <w:proofErr w:type="spellEnd"/>
      <w:r w:rsidRPr="00306336">
        <w:t xml:space="preserve"> Foundation. (</w:t>
      </w:r>
      <w:proofErr w:type="spellStart"/>
      <w:r w:rsidRPr="00306336">
        <w:t>n.d</w:t>
      </w:r>
      <w:proofErr w:type="spellEnd"/>
      <w:r w:rsidRPr="00306336">
        <w:t xml:space="preserve">.). </w:t>
      </w:r>
      <w:proofErr w:type="spellStart"/>
      <w:r w:rsidRPr="00306336">
        <w:rPr>
          <w:i/>
          <w:iCs/>
        </w:rPr>
        <w:t>Our</w:t>
      </w:r>
      <w:proofErr w:type="spellEnd"/>
      <w:r w:rsidRPr="00306336">
        <w:rPr>
          <w:i/>
          <w:iCs/>
        </w:rPr>
        <w:t xml:space="preserve"> </w:t>
      </w:r>
      <w:proofErr w:type="spellStart"/>
      <w:r w:rsidRPr="00306336">
        <w:rPr>
          <w:i/>
          <w:iCs/>
        </w:rPr>
        <w:t>vision</w:t>
      </w:r>
      <w:proofErr w:type="spellEnd"/>
      <w:r w:rsidRPr="00306336">
        <w:rPr>
          <w:i/>
          <w:iCs/>
        </w:rPr>
        <w:t xml:space="preserve"> for </w:t>
      </w:r>
      <w:proofErr w:type="spellStart"/>
      <w:r w:rsidRPr="00306336">
        <w:rPr>
          <w:i/>
          <w:iCs/>
        </w:rPr>
        <w:t>plastics</w:t>
      </w:r>
      <w:proofErr w:type="spellEnd"/>
      <w:r w:rsidRPr="00306336">
        <w:rPr>
          <w:i/>
          <w:iCs/>
        </w:rPr>
        <w:t xml:space="preserve"> in a circular </w:t>
      </w:r>
      <w:proofErr w:type="spellStart"/>
      <w:r w:rsidRPr="00306336">
        <w:rPr>
          <w:i/>
          <w:iCs/>
        </w:rPr>
        <w:t>economy</w:t>
      </w:r>
      <w:proofErr w:type="spellEnd"/>
      <w:r w:rsidRPr="00306336">
        <w:t xml:space="preserve">. </w:t>
      </w:r>
      <w:hyperlink r:id="rId22" w:history="1">
        <w:r w:rsidRPr="00306336">
          <w:rPr>
            <w:rStyle w:val="Hyperlink"/>
          </w:rPr>
          <w:t>https://www.ellenmacarthurfoundation.org/plastics-vision</w:t>
        </w:r>
      </w:hyperlink>
    </w:p>
    <w:p w14:paraId="4114EB71" w14:textId="6ADB7795" w:rsidR="00306336" w:rsidRDefault="00306336" w:rsidP="00306336">
      <w:pPr>
        <w:spacing w:after="160"/>
        <w:jc w:val="both"/>
      </w:pPr>
      <w:r w:rsidRPr="00306336">
        <w:t xml:space="preserve">Ellen </w:t>
      </w:r>
      <w:proofErr w:type="spellStart"/>
      <w:r w:rsidRPr="00306336">
        <w:t>MacArthur</w:t>
      </w:r>
      <w:proofErr w:type="spellEnd"/>
      <w:r w:rsidRPr="00306336">
        <w:t xml:space="preserve"> Foundation. (2025). </w:t>
      </w:r>
      <w:proofErr w:type="spellStart"/>
      <w:r w:rsidRPr="00306336">
        <w:rPr>
          <w:i/>
          <w:iCs/>
        </w:rPr>
        <w:t>Exploring</w:t>
      </w:r>
      <w:proofErr w:type="spellEnd"/>
      <w:r w:rsidRPr="00306336">
        <w:rPr>
          <w:i/>
          <w:iCs/>
        </w:rPr>
        <w:t xml:space="preserve"> </w:t>
      </w:r>
      <w:proofErr w:type="spellStart"/>
      <w:r w:rsidRPr="00306336">
        <w:rPr>
          <w:i/>
          <w:iCs/>
        </w:rPr>
        <w:t>the</w:t>
      </w:r>
      <w:proofErr w:type="spellEnd"/>
      <w:r w:rsidRPr="00306336">
        <w:rPr>
          <w:i/>
          <w:iCs/>
        </w:rPr>
        <w:t xml:space="preserve"> circular </w:t>
      </w:r>
      <w:proofErr w:type="spellStart"/>
      <w:r w:rsidRPr="00306336">
        <w:rPr>
          <w:i/>
          <w:iCs/>
        </w:rPr>
        <w:t>economy</w:t>
      </w:r>
      <w:proofErr w:type="spellEnd"/>
      <w:r w:rsidRPr="00306336">
        <w:rPr>
          <w:i/>
          <w:iCs/>
        </w:rPr>
        <w:t xml:space="preserve"> </w:t>
      </w:r>
      <w:proofErr w:type="spellStart"/>
      <w:r w:rsidRPr="00306336">
        <w:rPr>
          <w:i/>
          <w:iCs/>
        </w:rPr>
        <w:t>opportunity</w:t>
      </w:r>
      <w:proofErr w:type="spellEnd"/>
      <w:r w:rsidRPr="00306336">
        <w:rPr>
          <w:i/>
          <w:iCs/>
        </w:rPr>
        <w:t xml:space="preserve"> for </w:t>
      </w:r>
      <w:proofErr w:type="spellStart"/>
      <w:r w:rsidRPr="00306336">
        <w:rPr>
          <w:i/>
          <w:iCs/>
        </w:rPr>
        <w:t>critical</w:t>
      </w:r>
      <w:proofErr w:type="spellEnd"/>
      <w:r w:rsidRPr="00306336">
        <w:rPr>
          <w:i/>
          <w:iCs/>
        </w:rPr>
        <w:t xml:space="preserve"> </w:t>
      </w:r>
      <w:proofErr w:type="spellStart"/>
      <w:r w:rsidRPr="00306336">
        <w:rPr>
          <w:i/>
          <w:iCs/>
        </w:rPr>
        <w:t>minerals</w:t>
      </w:r>
      <w:proofErr w:type="spellEnd"/>
      <w:r w:rsidRPr="00306336">
        <w:t xml:space="preserve">. </w:t>
      </w:r>
      <w:hyperlink r:id="rId23" w:history="1">
        <w:r w:rsidRPr="00306336">
          <w:rPr>
            <w:rStyle w:val="Hyperlink"/>
          </w:rPr>
          <w:t>https://www.ellenmacarthurfoundation.org/critical-minerals/overview</w:t>
        </w:r>
      </w:hyperlink>
    </w:p>
    <w:p w14:paraId="5A992617" w14:textId="6D066DEA" w:rsidR="00306336" w:rsidRDefault="00306336" w:rsidP="00306336">
      <w:pPr>
        <w:spacing w:after="160"/>
        <w:jc w:val="both"/>
      </w:pPr>
      <w:r w:rsidRPr="00306336">
        <w:t xml:space="preserve">Global </w:t>
      </w:r>
      <w:proofErr w:type="spellStart"/>
      <w:r w:rsidRPr="00306336">
        <w:t>Reporting</w:t>
      </w:r>
      <w:proofErr w:type="spellEnd"/>
      <w:r w:rsidRPr="00306336">
        <w:t xml:space="preserve"> </w:t>
      </w:r>
      <w:proofErr w:type="spellStart"/>
      <w:r w:rsidRPr="00306336">
        <w:t>Initiative</w:t>
      </w:r>
      <w:proofErr w:type="spellEnd"/>
      <w:r w:rsidRPr="00306336">
        <w:t>. (</w:t>
      </w:r>
      <w:proofErr w:type="spellStart"/>
      <w:r w:rsidRPr="00306336">
        <w:t>n.d</w:t>
      </w:r>
      <w:proofErr w:type="spellEnd"/>
      <w:r w:rsidRPr="00306336">
        <w:t xml:space="preserve">.). </w:t>
      </w:r>
      <w:r w:rsidRPr="00306336">
        <w:rPr>
          <w:i/>
          <w:iCs/>
        </w:rPr>
        <w:t xml:space="preserve">The global </w:t>
      </w:r>
      <w:proofErr w:type="spellStart"/>
      <w:r w:rsidRPr="00306336">
        <w:rPr>
          <w:i/>
          <w:iCs/>
        </w:rPr>
        <w:t>standards</w:t>
      </w:r>
      <w:proofErr w:type="spellEnd"/>
      <w:r w:rsidRPr="00306336">
        <w:rPr>
          <w:i/>
          <w:iCs/>
        </w:rPr>
        <w:t xml:space="preserve"> for </w:t>
      </w:r>
      <w:proofErr w:type="spellStart"/>
      <w:r w:rsidRPr="00306336">
        <w:rPr>
          <w:i/>
          <w:iCs/>
        </w:rPr>
        <w:t>sustainability</w:t>
      </w:r>
      <w:proofErr w:type="spellEnd"/>
      <w:r w:rsidRPr="00306336">
        <w:rPr>
          <w:i/>
          <w:iCs/>
        </w:rPr>
        <w:t xml:space="preserve"> </w:t>
      </w:r>
      <w:proofErr w:type="spellStart"/>
      <w:r w:rsidRPr="00306336">
        <w:rPr>
          <w:i/>
          <w:iCs/>
        </w:rPr>
        <w:t>impacts</w:t>
      </w:r>
      <w:proofErr w:type="spellEnd"/>
      <w:r w:rsidRPr="00306336">
        <w:t xml:space="preserve">. </w:t>
      </w:r>
      <w:hyperlink r:id="rId24" w:history="1">
        <w:r w:rsidRPr="00306336">
          <w:rPr>
            <w:rStyle w:val="Hyperlink"/>
          </w:rPr>
          <w:t>https://www.globalreporting.org/standards/</w:t>
        </w:r>
      </w:hyperlink>
    </w:p>
    <w:p w14:paraId="6B0A4583" w14:textId="1FD7BDEE" w:rsidR="00306336" w:rsidRDefault="00306336" w:rsidP="00306336">
      <w:pPr>
        <w:spacing w:after="160"/>
        <w:jc w:val="both"/>
      </w:pPr>
      <w:r w:rsidRPr="00306336">
        <w:t xml:space="preserve">International Energy Agency. (2023). </w:t>
      </w:r>
      <w:r w:rsidRPr="00306336">
        <w:rPr>
          <w:i/>
          <w:iCs/>
        </w:rPr>
        <w:t xml:space="preserve">Net zero </w:t>
      </w:r>
      <w:proofErr w:type="spellStart"/>
      <w:r w:rsidRPr="00306336">
        <w:rPr>
          <w:i/>
          <w:iCs/>
        </w:rPr>
        <w:t>roadmap</w:t>
      </w:r>
      <w:proofErr w:type="spellEnd"/>
      <w:r w:rsidRPr="00306336">
        <w:rPr>
          <w:i/>
          <w:iCs/>
        </w:rPr>
        <w:t xml:space="preserve">: A global </w:t>
      </w:r>
      <w:proofErr w:type="spellStart"/>
      <w:r w:rsidRPr="00306336">
        <w:rPr>
          <w:i/>
          <w:iCs/>
        </w:rPr>
        <w:t>pathway</w:t>
      </w:r>
      <w:proofErr w:type="spellEnd"/>
      <w:r w:rsidRPr="00306336">
        <w:rPr>
          <w:i/>
          <w:iCs/>
        </w:rPr>
        <w:t xml:space="preserve"> </w:t>
      </w:r>
      <w:proofErr w:type="spellStart"/>
      <w:r w:rsidRPr="00306336">
        <w:rPr>
          <w:i/>
          <w:iCs/>
        </w:rPr>
        <w:t>to</w:t>
      </w:r>
      <w:proofErr w:type="spellEnd"/>
      <w:r w:rsidRPr="00306336">
        <w:rPr>
          <w:i/>
          <w:iCs/>
        </w:rPr>
        <w:t xml:space="preserve"> </w:t>
      </w:r>
      <w:proofErr w:type="spellStart"/>
      <w:r w:rsidRPr="00306336">
        <w:rPr>
          <w:i/>
          <w:iCs/>
        </w:rPr>
        <w:t>keep</w:t>
      </w:r>
      <w:proofErr w:type="spellEnd"/>
      <w:r w:rsidRPr="00306336">
        <w:rPr>
          <w:i/>
          <w:iCs/>
        </w:rPr>
        <w:t xml:space="preserve"> </w:t>
      </w:r>
      <w:proofErr w:type="spellStart"/>
      <w:r w:rsidRPr="00306336">
        <w:rPr>
          <w:i/>
          <w:iCs/>
        </w:rPr>
        <w:t>the</w:t>
      </w:r>
      <w:proofErr w:type="spellEnd"/>
      <w:r w:rsidRPr="00306336">
        <w:rPr>
          <w:i/>
          <w:iCs/>
        </w:rPr>
        <w:t xml:space="preserve"> 1.5 °C </w:t>
      </w:r>
      <w:proofErr w:type="spellStart"/>
      <w:r w:rsidRPr="00306336">
        <w:rPr>
          <w:i/>
          <w:iCs/>
        </w:rPr>
        <w:t>goal</w:t>
      </w:r>
      <w:proofErr w:type="spellEnd"/>
      <w:r w:rsidRPr="00306336">
        <w:rPr>
          <w:i/>
          <w:iCs/>
        </w:rPr>
        <w:t xml:space="preserve"> in </w:t>
      </w:r>
      <w:proofErr w:type="spellStart"/>
      <w:r w:rsidRPr="00306336">
        <w:rPr>
          <w:i/>
          <w:iCs/>
        </w:rPr>
        <w:t>reach</w:t>
      </w:r>
      <w:proofErr w:type="spellEnd"/>
      <w:r w:rsidRPr="00306336">
        <w:t xml:space="preserve">. </w:t>
      </w:r>
      <w:hyperlink r:id="rId25" w:history="1">
        <w:r w:rsidRPr="00306336">
          <w:rPr>
            <w:rStyle w:val="Hyperlink"/>
          </w:rPr>
          <w:t>https://www.iea.org/reports/net-zero-roadmap-a-global-pathway-to-keep-the-15-c-goal-in-reach</w:t>
        </w:r>
      </w:hyperlink>
    </w:p>
    <w:p w14:paraId="6DD30D53" w14:textId="34AF822A" w:rsidR="00306336" w:rsidRDefault="00306336" w:rsidP="00306336">
      <w:pPr>
        <w:spacing w:after="160"/>
        <w:jc w:val="both"/>
      </w:pPr>
      <w:proofErr w:type="spellStart"/>
      <w:r w:rsidRPr="00306336">
        <w:t>ResponsibleSteel</w:t>
      </w:r>
      <w:proofErr w:type="spellEnd"/>
      <w:r w:rsidRPr="00306336">
        <w:t>. (</w:t>
      </w:r>
      <w:proofErr w:type="spellStart"/>
      <w:r w:rsidRPr="00306336">
        <w:t>n.d</w:t>
      </w:r>
      <w:proofErr w:type="spellEnd"/>
      <w:r w:rsidRPr="00306336">
        <w:t xml:space="preserve">.). </w:t>
      </w:r>
      <w:proofErr w:type="spellStart"/>
      <w:r w:rsidRPr="00306336">
        <w:rPr>
          <w:i/>
          <w:iCs/>
        </w:rPr>
        <w:t>Standards</w:t>
      </w:r>
      <w:proofErr w:type="spellEnd"/>
      <w:r w:rsidRPr="00306336">
        <w:t xml:space="preserve">. </w:t>
      </w:r>
      <w:hyperlink r:id="rId26" w:history="1">
        <w:r w:rsidRPr="00306336">
          <w:rPr>
            <w:rStyle w:val="Hyperlink"/>
          </w:rPr>
          <w:t>https://www.responsiblesteel.org/standards</w:t>
        </w:r>
      </w:hyperlink>
    </w:p>
    <w:p w14:paraId="54B329CE" w14:textId="465D4921" w:rsidR="00306336" w:rsidRDefault="00306336" w:rsidP="00306336">
      <w:pPr>
        <w:spacing w:after="160"/>
        <w:jc w:val="both"/>
      </w:pPr>
      <w:proofErr w:type="spellStart"/>
      <w:r w:rsidRPr="00306336">
        <w:t>Science</w:t>
      </w:r>
      <w:proofErr w:type="spellEnd"/>
      <w:r w:rsidRPr="00306336">
        <w:t xml:space="preserve"> </w:t>
      </w:r>
      <w:proofErr w:type="spellStart"/>
      <w:r w:rsidRPr="00306336">
        <w:t>Based</w:t>
      </w:r>
      <w:proofErr w:type="spellEnd"/>
      <w:r w:rsidRPr="00306336">
        <w:t xml:space="preserve"> </w:t>
      </w:r>
      <w:proofErr w:type="spellStart"/>
      <w:r w:rsidRPr="00306336">
        <w:t>Targets</w:t>
      </w:r>
      <w:proofErr w:type="spellEnd"/>
      <w:r w:rsidRPr="00306336">
        <w:t xml:space="preserve"> </w:t>
      </w:r>
      <w:proofErr w:type="spellStart"/>
      <w:r w:rsidRPr="00306336">
        <w:t>initiative</w:t>
      </w:r>
      <w:proofErr w:type="spellEnd"/>
      <w:r w:rsidRPr="00306336">
        <w:t>. (</w:t>
      </w:r>
      <w:proofErr w:type="spellStart"/>
      <w:r w:rsidRPr="00306336">
        <w:t>n.d</w:t>
      </w:r>
      <w:proofErr w:type="spellEnd"/>
      <w:r w:rsidRPr="00306336">
        <w:t xml:space="preserve">.). </w:t>
      </w:r>
      <w:r w:rsidRPr="00306336">
        <w:rPr>
          <w:i/>
          <w:iCs/>
        </w:rPr>
        <w:t xml:space="preserve">The </w:t>
      </w:r>
      <w:proofErr w:type="spellStart"/>
      <w:r w:rsidRPr="00306336">
        <w:rPr>
          <w:i/>
          <w:iCs/>
        </w:rPr>
        <w:t>corporate</w:t>
      </w:r>
      <w:proofErr w:type="spellEnd"/>
      <w:r w:rsidRPr="00306336">
        <w:rPr>
          <w:i/>
          <w:iCs/>
        </w:rPr>
        <w:t xml:space="preserve"> net-zero standard</w:t>
      </w:r>
      <w:r w:rsidRPr="00306336">
        <w:t xml:space="preserve">. </w:t>
      </w:r>
      <w:hyperlink r:id="rId27" w:history="1">
        <w:r w:rsidRPr="00306336">
          <w:rPr>
            <w:rStyle w:val="Hyperlink"/>
          </w:rPr>
          <w:t>https://sciencebasedtargets.org/net-zero</w:t>
        </w:r>
      </w:hyperlink>
    </w:p>
    <w:p w14:paraId="78579907" w14:textId="4A0547B2" w:rsidR="00306336" w:rsidRDefault="00306336" w:rsidP="00306336">
      <w:pPr>
        <w:spacing w:after="160"/>
        <w:jc w:val="both"/>
      </w:pPr>
      <w:r>
        <w:t xml:space="preserve">United </w:t>
      </w:r>
      <w:proofErr w:type="spellStart"/>
      <w:r>
        <w:t>Nations</w:t>
      </w:r>
      <w:proofErr w:type="spellEnd"/>
      <w:r>
        <w:t xml:space="preserve"> </w:t>
      </w:r>
      <w:proofErr w:type="spellStart"/>
      <w:r>
        <w:t>Environment</w:t>
      </w:r>
      <w:proofErr w:type="spellEnd"/>
      <w:r>
        <w:t xml:space="preserve"> </w:t>
      </w:r>
      <w:proofErr w:type="spellStart"/>
      <w:r>
        <w:t>Programme</w:t>
      </w:r>
      <w:proofErr w:type="spellEnd"/>
      <w:r>
        <w:t>. (</w:t>
      </w:r>
      <w:proofErr w:type="spellStart"/>
      <w:r>
        <w:t>n.d</w:t>
      </w:r>
      <w:proofErr w:type="spellEnd"/>
      <w:r>
        <w:t xml:space="preserve">). </w:t>
      </w:r>
      <w:r w:rsidRPr="00306336">
        <w:rPr>
          <w:i/>
          <w:iCs/>
        </w:rPr>
        <w:t xml:space="preserve">Electric </w:t>
      </w:r>
      <w:proofErr w:type="spellStart"/>
      <w:r w:rsidRPr="00306336">
        <w:rPr>
          <w:i/>
          <w:iCs/>
        </w:rPr>
        <w:t>buses</w:t>
      </w:r>
      <w:proofErr w:type="spellEnd"/>
      <w:r w:rsidRPr="00306336">
        <w:rPr>
          <w:i/>
          <w:iCs/>
        </w:rPr>
        <w:t xml:space="preserve"> </w:t>
      </w:r>
      <w:hyperlink r:id="rId28" w:history="1">
        <w:r w:rsidRPr="00306336">
          <w:rPr>
            <w:rStyle w:val="Hyperlink"/>
          </w:rPr>
          <w:t>https://www.unep.org/topics/transport/electric-mobility/electric-buses</w:t>
        </w:r>
      </w:hyperlink>
    </w:p>
    <w:p w14:paraId="402E5572" w14:textId="77777777" w:rsidR="00306336" w:rsidRDefault="00306336" w:rsidP="00306336">
      <w:pPr>
        <w:spacing w:after="160"/>
        <w:jc w:val="both"/>
      </w:pPr>
    </w:p>
    <w:p w14:paraId="328BE68C" w14:textId="77777777" w:rsidR="00306336" w:rsidRPr="00306336" w:rsidRDefault="00306336" w:rsidP="00306336">
      <w:pPr>
        <w:spacing w:after="160"/>
        <w:jc w:val="both"/>
      </w:pPr>
    </w:p>
    <w:p w14:paraId="6F1C2A1D" w14:textId="77777777" w:rsidR="00306336" w:rsidRPr="00306336" w:rsidRDefault="00306336">
      <w:pPr>
        <w:spacing w:after="160"/>
        <w:jc w:val="both"/>
        <w:rPr>
          <w:lang w:val="en-GB"/>
        </w:rPr>
      </w:pPr>
    </w:p>
    <w:sectPr w:rsidR="00306336" w:rsidRPr="0030633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2FBEA" w14:textId="77777777" w:rsidR="00BB4A87" w:rsidRDefault="00BB4A87" w:rsidP="00BB4A87">
      <w:r>
        <w:separator/>
      </w:r>
    </w:p>
  </w:endnote>
  <w:endnote w:type="continuationSeparator" w:id="0">
    <w:p w14:paraId="66CF6547" w14:textId="77777777" w:rsidR="00BB4A87" w:rsidRDefault="00BB4A87" w:rsidP="00BB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31A06" w14:textId="77777777" w:rsidR="00BB4A87" w:rsidRDefault="00BB4A87" w:rsidP="00BB4A87">
      <w:r>
        <w:separator/>
      </w:r>
    </w:p>
  </w:footnote>
  <w:footnote w:type="continuationSeparator" w:id="0">
    <w:p w14:paraId="23EDBD47" w14:textId="77777777" w:rsidR="00BB4A87" w:rsidRDefault="00BB4A87" w:rsidP="00BB4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7728"/>
    <w:multiLevelType w:val="hybridMultilevel"/>
    <w:tmpl w:val="FFFFFFFF"/>
    <w:lvl w:ilvl="0" w:tplc="0C7418C0">
      <w:start w:val="1"/>
      <w:numFmt w:val="bullet"/>
      <w:lvlText w:val="●"/>
      <w:lvlJc w:val="left"/>
      <w:pPr>
        <w:ind w:left="720" w:hanging="360"/>
      </w:pPr>
    </w:lvl>
    <w:lvl w:ilvl="1" w:tplc="D99853CA">
      <w:start w:val="1"/>
      <w:numFmt w:val="bullet"/>
      <w:lvlText w:val="○"/>
      <w:lvlJc w:val="left"/>
      <w:pPr>
        <w:ind w:left="1440" w:hanging="360"/>
      </w:pPr>
    </w:lvl>
    <w:lvl w:ilvl="2" w:tplc="CC0EF02C">
      <w:start w:val="1"/>
      <w:numFmt w:val="bullet"/>
      <w:lvlText w:val="■"/>
      <w:lvlJc w:val="left"/>
      <w:pPr>
        <w:ind w:left="2160" w:hanging="360"/>
      </w:pPr>
    </w:lvl>
    <w:lvl w:ilvl="3" w:tplc="65AA9B94">
      <w:start w:val="1"/>
      <w:numFmt w:val="bullet"/>
      <w:lvlText w:val="●"/>
      <w:lvlJc w:val="left"/>
      <w:pPr>
        <w:ind w:left="2880" w:hanging="360"/>
      </w:pPr>
    </w:lvl>
    <w:lvl w:ilvl="4" w:tplc="297E18C4">
      <w:start w:val="1"/>
      <w:numFmt w:val="bullet"/>
      <w:lvlText w:val="○"/>
      <w:lvlJc w:val="left"/>
      <w:pPr>
        <w:ind w:left="3600" w:hanging="360"/>
      </w:pPr>
    </w:lvl>
    <w:lvl w:ilvl="5" w:tplc="54CA1D7E">
      <w:start w:val="1"/>
      <w:numFmt w:val="bullet"/>
      <w:lvlText w:val="■"/>
      <w:lvlJc w:val="left"/>
      <w:pPr>
        <w:ind w:left="4320" w:hanging="360"/>
      </w:pPr>
    </w:lvl>
    <w:lvl w:ilvl="6" w:tplc="DEF4C65E">
      <w:start w:val="1"/>
      <w:numFmt w:val="bullet"/>
      <w:lvlText w:val="●"/>
      <w:lvlJc w:val="left"/>
      <w:pPr>
        <w:ind w:left="5040" w:hanging="360"/>
      </w:pPr>
    </w:lvl>
    <w:lvl w:ilvl="7" w:tplc="841ED5BC">
      <w:start w:val="1"/>
      <w:numFmt w:val="bullet"/>
      <w:lvlText w:val="●"/>
      <w:lvlJc w:val="left"/>
      <w:pPr>
        <w:ind w:left="5760" w:hanging="360"/>
      </w:pPr>
    </w:lvl>
    <w:lvl w:ilvl="8" w:tplc="158CD8EA">
      <w:start w:val="1"/>
      <w:numFmt w:val="bullet"/>
      <w:lvlText w:val="●"/>
      <w:lvlJc w:val="left"/>
      <w:pPr>
        <w:ind w:left="6480" w:hanging="360"/>
      </w:pPr>
    </w:lvl>
  </w:abstractNum>
  <w:abstractNum w:abstractNumId="1" w15:restartNumberingAfterBreak="0">
    <w:nsid w:val="0EB31580"/>
    <w:multiLevelType w:val="hybridMultilevel"/>
    <w:tmpl w:val="FFFFFFFF"/>
    <w:lvl w:ilvl="0" w:tplc="1DD60D42">
      <w:start w:val="1"/>
      <w:numFmt w:val="decimal"/>
      <w:lvlText w:val="%1."/>
      <w:lvlJc w:val="left"/>
      <w:pPr>
        <w:ind w:left="720" w:hanging="360"/>
      </w:pPr>
    </w:lvl>
    <w:lvl w:ilvl="1" w:tplc="020E50DC">
      <w:numFmt w:val="decimal"/>
      <w:lvlText w:val=""/>
      <w:lvlJc w:val="left"/>
    </w:lvl>
    <w:lvl w:ilvl="2" w:tplc="74EC1F28">
      <w:numFmt w:val="decimal"/>
      <w:lvlText w:val=""/>
      <w:lvlJc w:val="left"/>
    </w:lvl>
    <w:lvl w:ilvl="3" w:tplc="A8AEC6FE">
      <w:numFmt w:val="decimal"/>
      <w:lvlText w:val=""/>
      <w:lvlJc w:val="left"/>
    </w:lvl>
    <w:lvl w:ilvl="4" w:tplc="977CF03C">
      <w:numFmt w:val="decimal"/>
      <w:lvlText w:val=""/>
      <w:lvlJc w:val="left"/>
    </w:lvl>
    <w:lvl w:ilvl="5" w:tplc="F166977A">
      <w:numFmt w:val="decimal"/>
      <w:lvlText w:val=""/>
      <w:lvlJc w:val="left"/>
    </w:lvl>
    <w:lvl w:ilvl="6" w:tplc="9CAAB612">
      <w:numFmt w:val="decimal"/>
      <w:lvlText w:val=""/>
      <w:lvlJc w:val="left"/>
    </w:lvl>
    <w:lvl w:ilvl="7" w:tplc="62109E80">
      <w:numFmt w:val="decimal"/>
      <w:lvlText w:val=""/>
      <w:lvlJc w:val="left"/>
    </w:lvl>
    <w:lvl w:ilvl="8" w:tplc="FD74DCE0">
      <w:numFmt w:val="decimal"/>
      <w:lvlText w:val=""/>
      <w:lvlJc w:val="left"/>
    </w:lvl>
  </w:abstractNum>
  <w:abstractNum w:abstractNumId="2" w15:restartNumberingAfterBreak="0">
    <w:nsid w:val="10EC6926"/>
    <w:multiLevelType w:val="hybridMultilevel"/>
    <w:tmpl w:val="FFFFFFFF"/>
    <w:lvl w:ilvl="0" w:tplc="63D0C0FC">
      <w:start w:val="1"/>
      <w:numFmt w:val="bullet"/>
      <w:lvlText w:val="•"/>
      <w:lvlJc w:val="left"/>
      <w:pPr>
        <w:ind w:left="720" w:hanging="360"/>
      </w:pPr>
    </w:lvl>
    <w:lvl w:ilvl="1" w:tplc="193A2252">
      <w:numFmt w:val="decimal"/>
      <w:lvlText w:val=""/>
      <w:lvlJc w:val="left"/>
    </w:lvl>
    <w:lvl w:ilvl="2" w:tplc="177E8198">
      <w:numFmt w:val="decimal"/>
      <w:lvlText w:val=""/>
      <w:lvlJc w:val="left"/>
    </w:lvl>
    <w:lvl w:ilvl="3" w:tplc="484C1726">
      <w:numFmt w:val="decimal"/>
      <w:lvlText w:val=""/>
      <w:lvlJc w:val="left"/>
    </w:lvl>
    <w:lvl w:ilvl="4" w:tplc="548879FC">
      <w:numFmt w:val="decimal"/>
      <w:lvlText w:val=""/>
      <w:lvlJc w:val="left"/>
    </w:lvl>
    <w:lvl w:ilvl="5" w:tplc="297E4F8E">
      <w:numFmt w:val="decimal"/>
      <w:lvlText w:val=""/>
      <w:lvlJc w:val="left"/>
    </w:lvl>
    <w:lvl w:ilvl="6" w:tplc="51C434F6">
      <w:numFmt w:val="decimal"/>
      <w:lvlText w:val=""/>
      <w:lvlJc w:val="left"/>
    </w:lvl>
    <w:lvl w:ilvl="7" w:tplc="096E257C">
      <w:numFmt w:val="decimal"/>
      <w:lvlText w:val=""/>
      <w:lvlJc w:val="left"/>
    </w:lvl>
    <w:lvl w:ilvl="8" w:tplc="7FAEA446">
      <w:numFmt w:val="decimal"/>
      <w:lvlText w:val=""/>
      <w:lvlJc w:val="left"/>
    </w:lvl>
  </w:abstractNum>
  <w:abstractNum w:abstractNumId="3" w15:restartNumberingAfterBreak="0">
    <w:nsid w:val="5DA67CFF"/>
    <w:multiLevelType w:val="hybridMultilevel"/>
    <w:tmpl w:val="FFFFFFFF"/>
    <w:lvl w:ilvl="0" w:tplc="1D8CCB02">
      <w:start w:val="1"/>
      <w:numFmt w:val="decimal"/>
      <w:lvlText w:val="%1."/>
      <w:lvlJc w:val="left"/>
      <w:pPr>
        <w:ind w:left="720" w:hanging="360"/>
      </w:pPr>
    </w:lvl>
    <w:lvl w:ilvl="1" w:tplc="C7DCC3E4">
      <w:numFmt w:val="decimal"/>
      <w:lvlText w:val=""/>
      <w:lvlJc w:val="left"/>
    </w:lvl>
    <w:lvl w:ilvl="2" w:tplc="7B48064C">
      <w:numFmt w:val="decimal"/>
      <w:lvlText w:val=""/>
      <w:lvlJc w:val="left"/>
    </w:lvl>
    <w:lvl w:ilvl="3" w:tplc="FF445A4C">
      <w:numFmt w:val="decimal"/>
      <w:lvlText w:val=""/>
      <w:lvlJc w:val="left"/>
    </w:lvl>
    <w:lvl w:ilvl="4" w:tplc="8ECA5F46">
      <w:numFmt w:val="decimal"/>
      <w:lvlText w:val=""/>
      <w:lvlJc w:val="left"/>
    </w:lvl>
    <w:lvl w:ilvl="5" w:tplc="5A5E33AA">
      <w:numFmt w:val="decimal"/>
      <w:lvlText w:val=""/>
      <w:lvlJc w:val="left"/>
    </w:lvl>
    <w:lvl w:ilvl="6" w:tplc="852A001C">
      <w:numFmt w:val="decimal"/>
      <w:lvlText w:val=""/>
      <w:lvlJc w:val="left"/>
    </w:lvl>
    <w:lvl w:ilvl="7" w:tplc="8976D522">
      <w:numFmt w:val="decimal"/>
      <w:lvlText w:val=""/>
      <w:lvlJc w:val="left"/>
    </w:lvl>
    <w:lvl w:ilvl="8" w:tplc="F1B4504A">
      <w:numFmt w:val="decimal"/>
      <w:lvlText w:val=""/>
      <w:lvlJc w:val="left"/>
    </w:lvl>
  </w:abstractNum>
  <w:num w:numId="1" w16cid:durableId="2038047016">
    <w:abstractNumId w:val="0"/>
    <w:lvlOverride w:ilvl="0">
      <w:startOverride w:val="1"/>
    </w:lvlOverride>
  </w:num>
  <w:num w:numId="2" w16cid:durableId="1550611596">
    <w:abstractNumId w:val="3"/>
    <w:lvlOverride w:ilvl="0">
      <w:startOverride w:val="1"/>
    </w:lvlOverride>
  </w:num>
  <w:num w:numId="3" w16cid:durableId="138752926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8DA"/>
    <w:rsid w:val="00011984"/>
    <w:rsid w:val="0006683C"/>
    <w:rsid w:val="00092D83"/>
    <w:rsid w:val="000A4EBB"/>
    <w:rsid w:val="000D0B03"/>
    <w:rsid w:val="00102C88"/>
    <w:rsid w:val="0013282F"/>
    <w:rsid w:val="00164E92"/>
    <w:rsid w:val="00186C73"/>
    <w:rsid w:val="00194CDE"/>
    <w:rsid w:val="001E03F2"/>
    <w:rsid w:val="001E129C"/>
    <w:rsid w:val="001F1E56"/>
    <w:rsid w:val="002234F1"/>
    <w:rsid w:val="00254292"/>
    <w:rsid w:val="00263BD0"/>
    <w:rsid w:val="00265DA7"/>
    <w:rsid w:val="00271FBD"/>
    <w:rsid w:val="002723ED"/>
    <w:rsid w:val="00273B09"/>
    <w:rsid w:val="00294E08"/>
    <w:rsid w:val="002C0740"/>
    <w:rsid w:val="002E6979"/>
    <w:rsid w:val="002F2853"/>
    <w:rsid w:val="00306336"/>
    <w:rsid w:val="003302FD"/>
    <w:rsid w:val="0035596E"/>
    <w:rsid w:val="00395594"/>
    <w:rsid w:val="003B4F87"/>
    <w:rsid w:val="003D0539"/>
    <w:rsid w:val="003F5A78"/>
    <w:rsid w:val="003F6D01"/>
    <w:rsid w:val="004841C2"/>
    <w:rsid w:val="00496854"/>
    <w:rsid w:val="004D0E7F"/>
    <w:rsid w:val="005169B7"/>
    <w:rsid w:val="00533E68"/>
    <w:rsid w:val="005D6425"/>
    <w:rsid w:val="00622B7E"/>
    <w:rsid w:val="00655E1E"/>
    <w:rsid w:val="00664EB1"/>
    <w:rsid w:val="006804FC"/>
    <w:rsid w:val="0068265C"/>
    <w:rsid w:val="006A35F9"/>
    <w:rsid w:val="00742AAB"/>
    <w:rsid w:val="00745E71"/>
    <w:rsid w:val="00761917"/>
    <w:rsid w:val="007A7C2E"/>
    <w:rsid w:val="007E3B3F"/>
    <w:rsid w:val="00824240"/>
    <w:rsid w:val="008A0313"/>
    <w:rsid w:val="008A48DA"/>
    <w:rsid w:val="008B3976"/>
    <w:rsid w:val="008F3087"/>
    <w:rsid w:val="008F64A2"/>
    <w:rsid w:val="00900B45"/>
    <w:rsid w:val="00931EFC"/>
    <w:rsid w:val="0097644F"/>
    <w:rsid w:val="009819C4"/>
    <w:rsid w:val="0099618A"/>
    <w:rsid w:val="009A6BCE"/>
    <w:rsid w:val="009C7D0D"/>
    <w:rsid w:val="00A077C2"/>
    <w:rsid w:val="00A537F2"/>
    <w:rsid w:val="00A71FCB"/>
    <w:rsid w:val="00AA1705"/>
    <w:rsid w:val="00AC5F4D"/>
    <w:rsid w:val="00AD7975"/>
    <w:rsid w:val="00AF5342"/>
    <w:rsid w:val="00B261D7"/>
    <w:rsid w:val="00B62348"/>
    <w:rsid w:val="00B86807"/>
    <w:rsid w:val="00BB4A87"/>
    <w:rsid w:val="00BB5486"/>
    <w:rsid w:val="00BB6C61"/>
    <w:rsid w:val="00C565A6"/>
    <w:rsid w:val="00C84E33"/>
    <w:rsid w:val="00C93389"/>
    <w:rsid w:val="00CA6C07"/>
    <w:rsid w:val="00CB26EA"/>
    <w:rsid w:val="00CF1C82"/>
    <w:rsid w:val="00D400F6"/>
    <w:rsid w:val="00D70E9D"/>
    <w:rsid w:val="00D74439"/>
    <w:rsid w:val="00D8566E"/>
    <w:rsid w:val="00D95332"/>
    <w:rsid w:val="00DD1B58"/>
    <w:rsid w:val="00DF2B01"/>
    <w:rsid w:val="00E63454"/>
    <w:rsid w:val="00E7559A"/>
    <w:rsid w:val="00E80B89"/>
    <w:rsid w:val="00EE513A"/>
    <w:rsid w:val="00F366CE"/>
    <w:rsid w:val="00F5056E"/>
    <w:rsid w:val="00F52F70"/>
    <w:rsid w:val="00FA1E4A"/>
    <w:rsid w:val="00FC6548"/>
    <w:rsid w:val="00FD6840"/>
    <w:rsid w:val="00FE6E8E"/>
    <w:rsid w:val="00FF2C83"/>
    <w:rsid w:val="00FF311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05CDC"/>
  <w15:docId w15:val="{649C8C56-CE83-4642-880D-48FE622E5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o-RO"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4E79"/>
      <w:sz w:val="32"/>
      <w:szCs w:val="32"/>
    </w:rPr>
  </w:style>
  <w:style w:type="paragraph" w:styleId="Heading2">
    <w:name w:val="heading 2"/>
    <w:uiPriority w:val="9"/>
    <w:unhideWhenUsed/>
    <w:qFormat/>
    <w:pPr>
      <w:spacing w:before="280" w:after="160"/>
      <w:outlineLvl w:val="1"/>
    </w:pPr>
    <w:rPr>
      <w:b/>
      <w:bCs/>
      <w:color w:val="2E74B5"/>
      <w:sz w:val="26"/>
      <w:szCs w:val="26"/>
    </w:rPr>
  </w:style>
  <w:style w:type="paragraph" w:styleId="Heading3">
    <w:name w:val="heading 3"/>
    <w:uiPriority w:val="9"/>
    <w:semiHidden/>
    <w:unhideWhenUsed/>
    <w:qFormat/>
    <w:pPr>
      <w:spacing w:before="200" w:after="120"/>
      <w:outlineLvl w:val="2"/>
    </w:pPr>
    <w:rPr>
      <w:b/>
      <w:bCs/>
      <w:color w:val="000000"/>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Subtitle">
    <w:name w:val="Subtitle"/>
    <w:basedOn w:val="Normal"/>
    <w:next w:val="Normal"/>
    <w:link w:val="SubtitleChar"/>
    <w:uiPriority w:val="11"/>
    <w:qFormat/>
    <w:rsid w:val="00102C8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02C88"/>
    <w:rPr>
      <w:rFonts w:asciiTheme="minorHAnsi" w:eastAsiaTheme="minorEastAsia" w:hAnsiTheme="minorHAnsi" w:cstheme="minorBidi"/>
      <w:color w:val="5A5A5A" w:themeColor="text1" w:themeTint="A5"/>
      <w:spacing w:val="15"/>
    </w:rPr>
  </w:style>
  <w:style w:type="character" w:styleId="UnresolvedMention">
    <w:name w:val="Unresolved Mention"/>
    <w:basedOn w:val="DefaultParagraphFont"/>
    <w:uiPriority w:val="99"/>
    <w:semiHidden/>
    <w:unhideWhenUsed/>
    <w:rsid w:val="002C0740"/>
    <w:rPr>
      <w:color w:val="605E5C"/>
      <w:shd w:val="clear" w:color="auto" w:fill="E1DFDD"/>
    </w:rPr>
  </w:style>
  <w:style w:type="table" w:styleId="TableGrid">
    <w:name w:val="Table Grid"/>
    <w:basedOn w:val="TableNormal"/>
    <w:uiPriority w:val="39"/>
    <w:rsid w:val="00EE5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EE51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Accent3">
    <w:name w:val="Grid Table 4 Accent 3"/>
    <w:basedOn w:val="TableNormal"/>
    <w:uiPriority w:val="49"/>
    <w:rsid w:val="00EE513A"/>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1">
    <w:name w:val="Grid Table 2 Accent 1"/>
    <w:basedOn w:val="TableNormal"/>
    <w:uiPriority w:val="47"/>
    <w:rsid w:val="00EE513A"/>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BB4A87"/>
    <w:pPr>
      <w:tabs>
        <w:tab w:val="center" w:pos="4513"/>
        <w:tab w:val="right" w:pos="9026"/>
      </w:tabs>
    </w:pPr>
  </w:style>
  <w:style w:type="character" w:customStyle="1" w:styleId="HeaderChar">
    <w:name w:val="Header Char"/>
    <w:basedOn w:val="DefaultParagraphFont"/>
    <w:link w:val="Header"/>
    <w:uiPriority w:val="99"/>
    <w:rsid w:val="00BB4A87"/>
  </w:style>
  <w:style w:type="paragraph" w:styleId="Footer">
    <w:name w:val="footer"/>
    <w:basedOn w:val="Normal"/>
    <w:link w:val="FooterChar"/>
    <w:uiPriority w:val="99"/>
    <w:unhideWhenUsed/>
    <w:rsid w:val="00BB4A87"/>
    <w:pPr>
      <w:tabs>
        <w:tab w:val="center" w:pos="4513"/>
        <w:tab w:val="right" w:pos="9026"/>
      </w:tabs>
    </w:pPr>
  </w:style>
  <w:style w:type="character" w:customStyle="1" w:styleId="FooterChar">
    <w:name w:val="Footer Char"/>
    <w:basedOn w:val="DefaultParagraphFont"/>
    <w:link w:val="Footer"/>
    <w:uiPriority w:val="99"/>
    <w:rsid w:val="00BB4A87"/>
  </w:style>
  <w:style w:type="paragraph" w:styleId="TOCHeading">
    <w:name w:val="TOC Heading"/>
    <w:basedOn w:val="Heading1"/>
    <w:next w:val="Normal"/>
    <w:uiPriority w:val="39"/>
    <w:unhideWhenUsed/>
    <w:qFormat/>
    <w:rsid w:val="00BB4A87"/>
    <w:pPr>
      <w:keepNext/>
      <w:keepLines/>
      <w:spacing w:before="240" w:after="0" w:line="259" w:lineRule="auto"/>
      <w:outlineLvl w:val="9"/>
    </w:pPr>
    <w:rPr>
      <w:rFonts w:asciiTheme="majorHAnsi" w:eastAsiaTheme="majorEastAsia" w:hAnsiTheme="majorHAnsi" w:cstheme="majorBidi"/>
      <w:b w:val="0"/>
      <w:bCs w:val="0"/>
      <w:color w:val="0F4761" w:themeColor="accent1" w:themeShade="BF"/>
      <w:lang w:val="en-US" w:eastAsia="en-US"/>
    </w:rPr>
  </w:style>
  <w:style w:type="paragraph" w:styleId="TOC1">
    <w:name w:val="toc 1"/>
    <w:basedOn w:val="Normal"/>
    <w:next w:val="Normal"/>
    <w:autoRedefine/>
    <w:uiPriority w:val="39"/>
    <w:unhideWhenUsed/>
    <w:rsid w:val="00BB4A87"/>
    <w:pPr>
      <w:spacing w:after="100"/>
    </w:pPr>
  </w:style>
  <w:style w:type="paragraph" w:styleId="TOC2">
    <w:name w:val="toc 2"/>
    <w:basedOn w:val="Normal"/>
    <w:next w:val="Normal"/>
    <w:autoRedefine/>
    <w:uiPriority w:val="39"/>
    <w:unhideWhenUsed/>
    <w:rsid w:val="00BB4A8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8217">
      <w:bodyDiv w:val="1"/>
      <w:marLeft w:val="0"/>
      <w:marRight w:val="0"/>
      <w:marTop w:val="0"/>
      <w:marBottom w:val="0"/>
      <w:divBdr>
        <w:top w:val="none" w:sz="0" w:space="0" w:color="auto"/>
        <w:left w:val="none" w:sz="0" w:space="0" w:color="auto"/>
        <w:bottom w:val="none" w:sz="0" w:space="0" w:color="auto"/>
        <w:right w:val="none" w:sz="0" w:space="0" w:color="auto"/>
      </w:divBdr>
    </w:div>
    <w:div w:id="157696892">
      <w:bodyDiv w:val="1"/>
      <w:marLeft w:val="0"/>
      <w:marRight w:val="0"/>
      <w:marTop w:val="0"/>
      <w:marBottom w:val="0"/>
      <w:divBdr>
        <w:top w:val="none" w:sz="0" w:space="0" w:color="auto"/>
        <w:left w:val="none" w:sz="0" w:space="0" w:color="auto"/>
        <w:bottom w:val="none" w:sz="0" w:space="0" w:color="auto"/>
        <w:right w:val="none" w:sz="0" w:space="0" w:color="auto"/>
      </w:divBdr>
    </w:div>
    <w:div w:id="159389267">
      <w:bodyDiv w:val="1"/>
      <w:marLeft w:val="0"/>
      <w:marRight w:val="0"/>
      <w:marTop w:val="0"/>
      <w:marBottom w:val="0"/>
      <w:divBdr>
        <w:top w:val="none" w:sz="0" w:space="0" w:color="auto"/>
        <w:left w:val="none" w:sz="0" w:space="0" w:color="auto"/>
        <w:bottom w:val="none" w:sz="0" w:space="0" w:color="auto"/>
        <w:right w:val="none" w:sz="0" w:space="0" w:color="auto"/>
      </w:divBdr>
    </w:div>
    <w:div w:id="209002711">
      <w:bodyDiv w:val="1"/>
      <w:marLeft w:val="0"/>
      <w:marRight w:val="0"/>
      <w:marTop w:val="0"/>
      <w:marBottom w:val="0"/>
      <w:divBdr>
        <w:top w:val="none" w:sz="0" w:space="0" w:color="auto"/>
        <w:left w:val="none" w:sz="0" w:space="0" w:color="auto"/>
        <w:bottom w:val="none" w:sz="0" w:space="0" w:color="auto"/>
        <w:right w:val="none" w:sz="0" w:space="0" w:color="auto"/>
      </w:divBdr>
    </w:div>
    <w:div w:id="228006103">
      <w:bodyDiv w:val="1"/>
      <w:marLeft w:val="0"/>
      <w:marRight w:val="0"/>
      <w:marTop w:val="0"/>
      <w:marBottom w:val="0"/>
      <w:divBdr>
        <w:top w:val="none" w:sz="0" w:space="0" w:color="auto"/>
        <w:left w:val="none" w:sz="0" w:space="0" w:color="auto"/>
        <w:bottom w:val="none" w:sz="0" w:space="0" w:color="auto"/>
        <w:right w:val="none" w:sz="0" w:space="0" w:color="auto"/>
      </w:divBdr>
    </w:div>
    <w:div w:id="290479052">
      <w:bodyDiv w:val="1"/>
      <w:marLeft w:val="0"/>
      <w:marRight w:val="0"/>
      <w:marTop w:val="0"/>
      <w:marBottom w:val="0"/>
      <w:divBdr>
        <w:top w:val="none" w:sz="0" w:space="0" w:color="auto"/>
        <w:left w:val="none" w:sz="0" w:space="0" w:color="auto"/>
        <w:bottom w:val="none" w:sz="0" w:space="0" w:color="auto"/>
        <w:right w:val="none" w:sz="0" w:space="0" w:color="auto"/>
      </w:divBdr>
    </w:div>
    <w:div w:id="392119820">
      <w:bodyDiv w:val="1"/>
      <w:marLeft w:val="0"/>
      <w:marRight w:val="0"/>
      <w:marTop w:val="0"/>
      <w:marBottom w:val="0"/>
      <w:divBdr>
        <w:top w:val="none" w:sz="0" w:space="0" w:color="auto"/>
        <w:left w:val="none" w:sz="0" w:space="0" w:color="auto"/>
        <w:bottom w:val="none" w:sz="0" w:space="0" w:color="auto"/>
        <w:right w:val="none" w:sz="0" w:space="0" w:color="auto"/>
      </w:divBdr>
    </w:div>
    <w:div w:id="474029301">
      <w:bodyDiv w:val="1"/>
      <w:marLeft w:val="0"/>
      <w:marRight w:val="0"/>
      <w:marTop w:val="0"/>
      <w:marBottom w:val="0"/>
      <w:divBdr>
        <w:top w:val="none" w:sz="0" w:space="0" w:color="auto"/>
        <w:left w:val="none" w:sz="0" w:space="0" w:color="auto"/>
        <w:bottom w:val="none" w:sz="0" w:space="0" w:color="auto"/>
        <w:right w:val="none" w:sz="0" w:space="0" w:color="auto"/>
      </w:divBdr>
    </w:div>
    <w:div w:id="474840476">
      <w:bodyDiv w:val="1"/>
      <w:marLeft w:val="0"/>
      <w:marRight w:val="0"/>
      <w:marTop w:val="0"/>
      <w:marBottom w:val="0"/>
      <w:divBdr>
        <w:top w:val="none" w:sz="0" w:space="0" w:color="auto"/>
        <w:left w:val="none" w:sz="0" w:space="0" w:color="auto"/>
        <w:bottom w:val="none" w:sz="0" w:space="0" w:color="auto"/>
        <w:right w:val="none" w:sz="0" w:space="0" w:color="auto"/>
      </w:divBdr>
    </w:div>
    <w:div w:id="737946289">
      <w:bodyDiv w:val="1"/>
      <w:marLeft w:val="0"/>
      <w:marRight w:val="0"/>
      <w:marTop w:val="0"/>
      <w:marBottom w:val="0"/>
      <w:divBdr>
        <w:top w:val="none" w:sz="0" w:space="0" w:color="auto"/>
        <w:left w:val="none" w:sz="0" w:space="0" w:color="auto"/>
        <w:bottom w:val="none" w:sz="0" w:space="0" w:color="auto"/>
        <w:right w:val="none" w:sz="0" w:space="0" w:color="auto"/>
      </w:divBdr>
    </w:div>
    <w:div w:id="772743111">
      <w:bodyDiv w:val="1"/>
      <w:marLeft w:val="0"/>
      <w:marRight w:val="0"/>
      <w:marTop w:val="0"/>
      <w:marBottom w:val="0"/>
      <w:divBdr>
        <w:top w:val="none" w:sz="0" w:space="0" w:color="auto"/>
        <w:left w:val="none" w:sz="0" w:space="0" w:color="auto"/>
        <w:bottom w:val="none" w:sz="0" w:space="0" w:color="auto"/>
        <w:right w:val="none" w:sz="0" w:space="0" w:color="auto"/>
      </w:divBdr>
    </w:div>
    <w:div w:id="829980538">
      <w:bodyDiv w:val="1"/>
      <w:marLeft w:val="0"/>
      <w:marRight w:val="0"/>
      <w:marTop w:val="0"/>
      <w:marBottom w:val="0"/>
      <w:divBdr>
        <w:top w:val="none" w:sz="0" w:space="0" w:color="auto"/>
        <w:left w:val="none" w:sz="0" w:space="0" w:color="auto"/>
        <w:bottom w:val="none" w:sz="0" w:space="0" w:color="auto"/>
        <w:right w:val="none" w:sz="0" w:space="0" w:color="auto"/>
      </w:divBdr>
    </w:div>
    <w:div w:id="1014452932">
      <w:bodyDiv w:val="1"/>
      <w:marLeft w:val="0"/>
      <w:marRight w:val="0"/>
      <w:marTop w:val="0"/>
      <w:marBottom w:val="0"/>
      <w:divBdr>
        <w:top w:val="none" w:sz="0" w:space="0" w:color="auto"/>
        <w:left w:val="none" w:sz="0" w:space="0" w:color="auto"/>
        <w:bottom w:val="none" w:sz="0" w:space="0" w:color="auto"/>
        <w:right w:val="none" w:sz="0" w:space="0" w:color="auto"/>
      </w:divBdr>
    </w:div>
    <w:div w:id="1090853636">
      <w:bodyDiv w:val="1"/>
      <w:marLeft w:val="0"/>
      <w:marRight w:val="0"/>
      <w:marTop w:val="0"/>
      <w:marBottom w:val="0"/>
      <w:divBdr>
        <w:top w:val="none" w:sz="0" w:space="0" w:color="auto"/>
        <w:left w:val="none" w:sz="0" w:space="0" w:color="auto"/>
        <w:bottom w:val="none" w:sz="0" w:space="0" w:color="auto"/>
        <w:right w:val="none" w:sz="0" w:space="0" w:color="auto"/>
      </w:divBdr>
    </w:div>
    <w:div w:id="1183738833">
      <w:bodyDiv w:val="1"/>
      <w:marLeft w:val="0"/>
      <w:marRight w:val="0"/>
      <w:marTop w:val="0"/>
      <w:marBottom w:val="0"/>
      <w:divBdr>
        <w:top w:val="none" w:sz="0" w:space="0" w:color="auto"/>
        <w:left w:val="none" w:sz="0" w:space="0" w:color="auto"/>
        <w:bottom w:val="none" w:sz="0" w:space="0" w:color="auto"/>
        <w:right w:val="none" w:sz="0" w:space="0" w:color="auto"/>
      </w:divBdr>
    </w:div>
    <w:div w:id="1332099791">
      <w:bodyDiv w:val="1"/>
      <w:marLeft w:val="0"/>
      <w:marRight w:val="0"/>
      <w:marTop w:val="0"/>
      <w:marBottom w:val="0"/>
      <w:divBdr>
        <w:top w:val="none" w:sz="0" w:space="0" w:color="auto"/>
        <w:left w:val="none" w:sz="0" w:space="0" w:color="auto"/>
        <w:bottom w:val="none" w:sz="0" w:space="0" w:color="auto"/>
        <w:right w:val="none" w:sz="0" w:space="0" w:color="auto"/>
      </w:divBdr>
    </w:div>
    <w:div w:id="1499425004">
      <w:bodyDiv w:val="1"/>
      <w:marLeft w:val="0"/>
      <w:marRight w:val="0"/>
      <w:marTop w:val="0"/>
      <w:marBottom w:val="0"/>
      <w:divBdr>
        <w:top w:val="none" w:sz="0" w:space="0" w:color="auto"/>
        <w:left w:val="none" w:sz="0" w:space="0" w:color="auto"/>
        <w:bottom w:val="none" w:sz="0" w:space="0" w:color="auto"/>
        <w:right w:val="none" w:sz="0" w:space="0" w:color="auto"/>
      </w:divBdr>
    </w:div>
    <w:div w:id="1592545298">
      <w:bodyDiv w:val="1"/>
      <w:marLeft w:val="0"/>
      <w:marRight w:val="0"/>
      <w:marTop w:val="0"/>
      <w:marBottom w:val="0"/>
      <w:divBdr>
        <w:top w:val="none" w:sz="0" w:space="0" w:color="auto"/>
        <w:left w:val="none" w:sz="0" w:space="0" w:color="auto"/>
        <w:bottom w:val="none" w:sz="0" w:space="0" w:color="auto"/>
        <w:right w:val="none" w:sz="0" w:space="0" w:color="auto"/>
      </w:divBdr>
    </w:div>
    <w:div w:id="1654214748">
      <w:bodyDiv w:val="1"/>
      <w:marLeft w:val="0"/>
      <w:marRight w:val="0"/>
      <w:marTop w:val="0"/>
      <w:marBottom w:val="0"/>
      <w:divBdr>
        <w:top w:val="none" w:sz="0" w:space="0" w:color="auto"/>
        <w:left w:val="none" w:sz="0" w:space="0" w:color="auto"/>
        <w:bottom w:val="none" w:sz="0" w:space="0" w:color="auto"/>
        <w:right w:val="none" w:sz="0" w:space="0" w:color="auto"/>
      </w:divBdr>
    </w:div>
    <w:div w:id="1660963252">
      <w:bodyDiv w:val="1"/>
      <w:marLeft w:val="0"/>
      <w:marRight w:val="0"/>
      <w:marTop w:val="0"/>
      <w:marBottom w:val="0"/>
      <w:divBdr>
        <w:top w:val="none" w:sz="0" w:space="0" w:color="auto"/>
        <w:left w:val="none" w:sz="0" w:space="0" w:color="auto"/>
        <w:bottom w:val="none" w:sz="0" w:space="0" w:color="auto"/>
        <w:right w:val="none" w:sz="0" w:space="0" w:color="auto"/>
      </w:divBdr>
    </w:div>
    <w:div w:id="1947930277">
      <w:bodyDiv w:val="1"/>
      <w:marLeft w:val="0"/>
      <w:marRight w:val="0"/>
      <w:marTop w:val="0"/>
      <w:marBottom w:val="0"/>
      <w:divBdr>
        <w:top w:val="none" w:sz="0" w:space="0" w:color="auto"/>
        <w:left w:val="none" w:sz="0" w:space="0" w:color="auto"/>
        <w:bottom w:val="none" w:sz="0" w:space="0" w:color="auto"/>
        <w:right w:val="none" w:sz="0" w:space="0" w:color="auto"/>
      </w:divBdr>
    </w:div>
    <w:div w:id="208256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laude.ai" TargetMode="External"/><Relationship Id="rId18" Type="http://schemas.openxmlformats.org/officeDocument/2006/relationships/hyperlink" Target="https://app6.interpretive.com" TargetMode="External"/><Relationship Id="rId26" Type="http://schemas.openxmlformats.org/officeDocument/2006/relationships/hyperlink" Target="https://www.responsiblesteel.org/standards" TargetMode="External"/><Relationship Id="rId3" Type="http://schemas.openxmlformats.org/officeDocument/2006/relationships/customXml" Target="../customXml/item3.xml"/><Relationship Id="rId21" Type="http://schemas.openxmlformats.org/officeDocument/2006/relationships/hyperlink" Target="https://aluminium-stewardship.org/drive-change/responsible-sourcin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ea.org/reports/net-zero-by-2050" TargetMode="External"/><Relationship Id="rId25" Type="http://schemas.openxmlformats.org/officeDocument/2006/relationships/hyperlink" Target="https://www.iea.org/reports/net-zero-roadmap-a-global-pathway-to-keep-the-15-c-goal-in-reach" TargetMode="External"/><Relationship Id="rId2" Type="http://schemas.openxmlformats.org/officeDocument/2006/relationships/customXml" Target="../customXml/item2.xml"/><Relationship Id="rId16" Type="http://schemas.openxmlformats.org/officeDocument/2006/relationships/hyperlink" Target="https://doi.org/10.1017/9781009157926" TargetMode="External"/><Relationship Id="rId20" Type="http://schemas.openxmlformats.org/officeDocument/2006/relationships/hyperlink" Target="https://www.who.int/news-room/fact-sheets/detail/ambient-(outdoor)-air-quality-and-healt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lobalreporting.org/standards/" TargetMode="External"/><Relationship Id="rId5" Type="http://schemas.openxmlformats.org/officeDocument/2006/relationships/numbering" Target="numbering.xml"/><Relationship Id="rId15" Type="http://schemas.openxmlformats.org/officeDocument/2006/relationships/hyperlink" Target="https://ec.europa.eu" TargetMode="External"/><Relationship Id="rId23" Type="http://schemas.openxmlformats.org/officeDocument/2006/relationships/hyperlink" Target="https://www.ellenmacarthurfoundation.org/critical-minerals/overview" TargetMode="External"/><Relationship Id="rId28" Type="http://schemas.openxmlformats.org/officeDocument/2006/relationships/hyperlink" Target="https://www.unep.org/topics/transport/electric-mobility/electric-buses" TargetMode="External"/><Relationship Id="rId10" Type="http://schemas.openxmlformats.org/officeDocument/2006/relationships/endnotes" Target="endnotes.xml"/><Relationship Id="rId19" Type="http://schemas.openxmlformats.org/officeDocument/2006/relationships/hyperlink" Target="https://www.unep.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 TargetMode="External"/><Relationship Id="rId22" Type="http://schemas.openxmlformats.org/officeDocument/2006/relationships/hyperlink" Target="https://www.ellenmacarthurfoundation.org/plastics-vision" TargetMode="External"/><Relationship Id="rId27" Type="http://schemas.openxmlformats.org/officeDocument/2006/relationships/hyperlink" Target="https://sciencebasedtargets.org/net-zero"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0AF786F4057B4DA028B933AE558FE6" ma:contentTypeVersion="10" ma:contentTypeDescription="Create a new document." ma:contentTypeScope="" ma:versionID="413831f8b7a09a120b8a14a878b86ba5">
  <xsd:schema xmlns:xsd="http://www.w3.org/2001/XMLSchema" xmlns:xs="http://www.w3.org/2001/XMLSchema" xmlns:p="http://schemas.microsoft.com/office/2006/metadata/properties" xmlns:ns3="8d413449-8ed1-4bf4-a05c-fb650b382956" targetNamespace="http://schemas.microsoft.com/office/2006/metadata/properties" ma:root="true" ma:fieldsID="654f5cc4bb06b2b8bf8bc33412fa2354" ns3:_="">
    <xsd:import namespace="8d413449-8ed1-4bf4-a05c-fb650b38295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GenerationTime" minOccurs="0"/>
                <xsd:element ref="ns3:MediaServiceEventHashCode"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13449-8ed1-4bf4-a05c-fb650b38295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d413449-8ed1-4bf4-a05c-fb650b38295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300C4-6576-4C8F-88F8-3CA217BCBD8E}">
  <ds:schemaRefs>
    <ds:schemaRef ds:uri="http://schemas.microsoft.com/sharepoint/v3/contenttype/forms"/>
  </ds:schemaRefs>
</ds:datastoreItem>
</file>

<file path=customXml/itemProps2.xml><?xml version="1.0" encoding="utf-8"?>
<ds:datastoreItem xmlns:ds="http://schemas.openxmlformats.org/officeDocument/2006/customXml" ds:itemID="{83EB5301-BFF1-4850-BBE2-2B3EFF2A9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13449-8ed1-4bf4-a05c-fb650b382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F483C-5290-4933-AFEC-DBB277691655}">
  <ds:schemaRef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elements/1.1/"/>
    <ds:schemaRef ds:uri="http://purl.org/dc/dcmitype/"/>
    <ds:schemaRef ds:uri="8d413449-8ed1-4bf4-a05c-fb650b382956"/>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72FC3F64-8C69-4688-B1F4-65B794B98008}">
  <ds:schemaRefs>
    <ds:schemaRef ds:uri="http://schemas.openxmlformats.org/officeDocument/2006/bibliography"/>
  </ds:schemaRefs>
</ds:datastoreItem>
</file>

<file path=docMetadata/LabelInfo.xml><?xml version="1.0" encoding="utf-8"?>
<clbl:labelList xmlns:clbl="http://schemas.microsoft.com/office/2020/mipLabelMetadata">
  <clbl:label id="{ca6fbace-7cba-4d53-8681-a06284f7ff46}" enabled="0" method="" siteId="{ca6fbace-7cba-4d53-8681-a06284f7ff46}"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3032</Words>
  <Characters>17586</Characters>
  <Application>Microsoft Office Word</Application>
  <DocSecurity>0</DocSecurity>
  <Lines>146</Lines>
  <Paragraphs>41</Paragraphs>
  <ScaleCrop>false</ScaleCrop>
  <Company/>
  <LinksUpToDate>false</LinksUpToDate>
  <CharactersWithSpaces>20577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Malina Zarughevici (1093352)</cp:lastModifiedBy>
  <cp:revision>2</cp:revision>
  <dcterms:created xsi:type="dcterms:W3CDTF">2026-06-11T17:22:00Z</dcterms:created>
  <dcterms:modified xsi:type="dcterms:W3CDTF">2026-06-11T17:22:00Z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0x0101007B0AF786F4057B4DA028B933AE558FE6</vt:lpwstr>
  </property>
</Properties>
</file>